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38" w:rsidRPr="007F6A38" w:rsidRDefault="007F6A38" w:rsidP="007F6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F6A38">
        <w:rPr>
          <w:rFonts w:ascii="Arial" w:hAnsi="Arial" w:cs="Arial"/>
          <w:b/>
        </w:rPr>
        <w:t>Note de synthèse du PL 7121</w:t>
      </w:r>
    </w:p>
    <w:p w:rsidR="007F6A38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96E">
        <w:rPr>
          <w:rFonts w:ascii="Arial" w:hAnsi="Arial" w:cs="Arial"/>
        </w:rPr>
        <w:t xml:space="preserve">Suite à un rapport du 19 novembre 2013, la Commission européenne a proposé de modifier le règlement (CE) n° 861/2007 instituant une procédure européenne de règlement des petits litiges, ainsi que le règlement (CE) n° 1896/2006 instituant une procédure européenne d’injonction de payer. A cette fin, le règlement (UE) 2015/2421 du 16 décembre 2015 a été adopté par le Parlement européen et le Conseil de l’Union européenne. Ce règlement est applicable à partir du 14 juillet 2017. </w:t>
      </w: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96E">
        <w:rPr>
          <w:rFonts w:ascii="Arial" w:hAnsi="Arial" w:cs="Arial"/>
        </w:rPr>
        <w:t xml:space="preserve">Concernant la procédure européenne des petits litiges, le but est de simplifier la procédure et de réduire le coût et la durée de celle-ci. La plus importante des modifications porte sur le plafond applicable au montant du litige, qui passe de 2.000 € à 5.000 €, afin d’améliorer l’accès à des voies de recours en cas de litiges transfrontaliers, dans lesquels au moins une des parties </w:t>
      </w:r>
      <w:proofErr w:type="spellStart"/>
      <w:r w:rsidRPr="00AE496E">
        <w:rPr>
          <w:rFonts w:ascii="Arial" w:hAnsi="Arial" w:cs="Arial"/>
        </w:rPr>
        <w:t>a</w:t>
      </w:r>
      <w:proofErr w:type="spellEnd"/>
      <w:r w:rsidRPr="00AE496E">
        <w:rPr>
          <w:rFonts w:ascii="Arial" w:hAnsi="Arial" w:cs="Arial"/>
        </w:rPr>
        <w:t xml:space="preserve"> son domicile ou sa résidence habituelle dans un Etat membre autre que l’Etat membre de la juridiction saisie.</w:t>
      </w: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96E">
        <w:rPr>
          <w:rFonts w:ascii="Arial" w:hAnsi="Arial" w:cs="Arial"/>
        </w:rPr>
        <w:t>D’ailleurs, concernant la procédure européenne d’injonction de payer, les options du demandeur ont été étendues étant donné que, suite à l’opposition formée par le défendeur contre une injonction européenne de payer, le demandeur aura la possibilité de demander à ce que la procédure se poursuive conformément aux règles de la procédure européenne de règlement des petits litiges prévues par le règlement (CE) n° 861/2007, option qui n’existait pas auparavant.</w:t>
      </w: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96E">
        <w:rPr>
          <w:rFonts w:ascii="Arial" w:hAnsi="Arial" w:cs="Arial"/>
        </w:rPr>
        <w:t>Le présent projet de loi vise à compléter et à modifier le Nouveau Code de procédure civile afin de tenir compte de ces modifications qui sont introduites par le règlement (UE) 2015/2421 au niveau communautaire.</w:t>
      </w: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6A38" w:rsidRPr="00AE496E" w:rsidRDefault="007F6A38" w:rsidP="007F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38"/>
    <w:rsid w:val="00004A42"/>
    <w:rsid w:val="00033411"/>
    <w:rsid w:val="002D5A5C"/>
    <w:rsid w:val="007F6A38"/>
    <w:rsid w:val="00B2072E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9156B7-330C-4FCB-9CE1-152DD3F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3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DP7121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7121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/sftpecos/Dossiers_parlementaires/7121/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AB2ECCD-9993-4810-AC62-3FE97182752B}"/>
</file>

<file path=customXml/itemProps2.xml><?xml version="1.0" encoding="utf-8"?>
<ds:datastoreItem xmlns:ds="http://schemas.openxmlformats.org/officeDocument/2006/customXml" ds:itemID="{0C75662B-E7A9-4336-AFAF-2207455F4440}"/>
</file>

<file path=customXml/itemProps3.xml><?xml version="1.0" encoding="utf-8"?>
<ds:datastoreItem xmlns:ds="http://schemas.openxmlformats.org/officeDocument/2006/customXml" ds:itemID="{6FCFD396-F61B-46AF-B7A9-374866CD2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