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062" w:rsidRDefault="008A54D8" w:rsidP="00875476">
      <w:pPr>
        <w:spacing w:after="0" w:line="240" w:lineRule="auto"/>
        <w:rPr>
          <w:rFonts w:ascii="Arial" w:hAnsi="Arial" w:cs="Arial"/>
          <w:b/>
        </w:rPr>
      </w:pPr>
      <w:bookmarkStart w:id="0" w:name="_GoBack"/>
      <w:bookmarkEnd w:id="0"/>
      <w:r w:rsidRPr="001740C6">
        <w:rPr>
          <w:rFonts w:ascii="Arial" w:hAnsi="Arial" w:cs="Arial"/>
          <w:b/>
          <w:lang w:eastAsia="fr-LU"/>
        </w:rPr>
        <w:t xml:space="preserve">Projet de loi </w:t>
      </w:r>
      <w:r w:rsidR="00F11062" w:rsidRPr="00DB4EB5">
        <w:rPr>
          <w:rFonts w:ascii="Arial" w:hAnsi="Arial" w:cs="Arial"/>
          <w:b/>
        </w:rPr>
        <w:t>relative aux comptes de paiement et portant :</w:t>
      </w:r>
    </w:p>
    <w:p w:rsidR="00F11062" w:rsidRPr="00DB4EB5" w:rsidRDefault="00F11062" w:rsidP="00F11062">
      <w:pPr>
        <w:pStyle w:val="Paragraphedeliste"/>
        <w:numPr>
          <w:ilvl w:val="0"/>
          <w:numId w:val="7"/>
        </w:numPr>
        <w:ind w:left="284" w:right="141" w:hanging="284"/>
        <w:jc w:val="both"/>
        <w:rPr>
          <w:rFonts w:ascii="Arial" w:hAnsi="Arial" w:cs="Arial"/>
          <w:b/>
          <w:color w:val="000000"/>
          <w:sz w:val="22"/>
          <w:szCs w:val="22"/>
        </w:rPr>
      </w:pPr>
      <w:r w:rsidRPr="00DB4EB5">
        <w:rPr>
          <w:rFonts w:ascii="Arial" w:hAnsi="Arial" w:cs="Arial"/>
          <w:b/>
          <w:sz w:val="22"/>
          <w:szCs w:val="22"/>
          <w:lang w:val="fr-LU"/>
        </w:rPr>
        <w:t xml:space="preserve">transposition </w:t>
      </w:r>
      <w:r w:rsidRPr="00DB4EB5">
        <w:rPr>
          <w:rFonts w:ascii="Arial" w:hAnsi="Arial" w:cs="Arial"/>
          <w:b/>
          <w:sz w:val="22"/>
          <w:szCs w:val="22"/>
        </w:rPr>
        <w:t xml:space="preserve">de la directive </w:t>
      </w:r>
      <w:r w:rsidRPr="00DB4EB5">
        <w:rPr>
          <w:rFonts w:ascii="Arial" w:hAnsi="Arial" w:cs="Arial"/>
          <w:b/>
          <w:color w:val="000000"/>
          <w:sz w:val="22"/>
          <w:szCs w:val="22"/>
        </w:rPr>
        <w:t>2014/92/UE du Parlement européen et du Conseil du 23 juillet 2014 sur la comparabilité des frais liés aux comptes de paiement, le changement de compte de paiement et l’accès à un compte de paiement assorti de prestations de base ; et</w:t>
      </w:r>
    </w:p>
    <w:p w:rsidR="008A54D8" w:rsidRPr="001740C6" w:rsidRDefault="00F11062" w:rsidP="00F11062">
      <w:pPr>
        <w:numPr>
          <w:ilvl w:val="0"/>
          <w:numId w:val="7"/>
        </w:numPr>
        <w:autoSpaceDE w:val="0"/>
        <w:autoSpaceDN w:val="0"/>
        <w:adjustRightInd w:val="0"/>
        <w:spacing w:after="0" w:line="240" w:lineRule="auto"/>
        <w:ind w:left="284" w:right="141" w:hanging="284"/>
        <w:jc w:val="both"/>
        <w:rPr>
          <w:rFonts w:ascii="Arial" w:hAnsi="Arial" w:cs="Arial"/>
          <w:b/>
        </w:rPr>
      </w:pPr>
      <w:r w:rsidRPr="00DB4EB5">
        <w:rPr>
          <w:rFonts w:ascii="Arial" w:hAnsi="Arial" w:cs="Arial"/>
          <w:b/>
          <w:color w:val="000000"/>
        </w:rPr>
        <w:t>modification de la loi modifiée du 15 décembre 2000 sur les services financiers postaux</w:t>
      </w:r>
    </w:p>
    <w:p w:rsidR="0002273C" w:rsidRPr="009C12DF" w:rsidRDefault="0002273C" w:rsidP="0002273C">
      <w:pPr>
        <w:pStyle w:val="Body"/>
        <w:jc w:val="center"/>
        <w:rPr>
          <w:rFonts w:ascii="Arial" w:eastAsia="Arial" w:hAnsi="Arial" w:cs="Arial"/>
          <w:b/>
          <w:bCs/>
          <w:sz w:val="22"/>
          <w:szCs w:val="22"/>
        </w:rPr>
      </w:pPr>
    </w:p>
    <w:p w:rsidR="00D51562" w:rsidRDefault="00D51562" w:rsidP="00D51562">
      <w:pPr>
        <w:pStyle w:val="Default"/>
        <w:jc w:val="both"/>
        <w:rPr>
          <w:rFonts w:ascii="Arial" w:hAnsi="Arial" w:cs="Arial"/>
          <w:sz w:val="22"/>
          <w:szCs w:val="22"/>
        </w:rPr>
      </w:pPr>
      <w:r w:rsidRPr="00C2649E">
        <w:rPr>
          <w:rFonts w:ascii="Arial" w:eastAsia="MS Mincho" w:hAnsi="Arial" w:cs="Arial"/>
          <w:sz w:val="22"/>
          <w:szCs w:val="22"/>
        </w:rPr>
        <w:t xml:space="preserve">Le </w:t>
      </w:r>
      <w:r w:rsidR="008621D5">
        <w:rPr>
          <w:rFonts w:ascii="Arial" w:eastAsia="MS Mincho" w:hAnsi="Arial" w:cs="Arial"/>
          <w:sz w:val="22"/>
          <w:szCs w:val="22"/>
        </w:rPr>
        <w:t xml:space="preserve">présent </w:t>
      </w:r>
      <w:r w:rsidRPr="00C2649E">
        <w:rPr>
          <w:rFonts w:ascii="Arial" w:eastAsia="MS Mincho" w:hAnsi="Arial" w:cs="Arial"/>
          <w:sz w:val="22"/>
          <w:szCs w:val="22"/>
        </w:rPr>
        <w:t xml:space="preserve">projet de loi a </w:t>
      </w:r>
      <w:r w:rsidR="008621D5">
        <w:rPr>
          <w:rFonts w:ascii="Arial" w:eastAsia="MS Mincho" w:hAnsi="Arial" w:cs="Arial"/>
          <w:sz w:val="22"/>
          <w:szCs w:val="22"/>
        </w:rPr>
        <w:t>pour</w:t>
      </w:r>
      <w:r w:rsidRPr="00C2649E">
        <w:rPr>
          <w:rFonts w:ascii="Arial" w:eastAsia="MS Mincho" w:hAnsi="Arial" w:cs="Arial"/>
          <w:sz w:val="22"/>
          <w:szCs w:val="22"/>
        </w:rPr>
        <w:t xml:space="preserve"> objet de transposer en droit luxembourgeois </w:t>
      </w:r>
      <w:r w:rsidRPr="00C2649E">
        <w:rPr>
          <w:rFonts w:ascii="Arial" w:hAnsi="Arial" w:cs="Arial"/>
          <w:sz w:val="22"/>
          <w:szCs w:val="22"/>
        </w:rPr>
        <w:t>la directive 2014/92/UE du Parlement européen et du Conseil du 23 juillet 2014 sur la comparabilité des frais liés aux comptes de paiement, le changement de compte de paiement et l’accès à un compte de paiement assorti de prestations de base, ci-après désignée « directive 2014/92/UE ». Elle procède à une harmonisation des règles concernant</w:t>
      </w:r>
      <w:r>
        <w:rPr>
          <w:rFonts w:ascii="Arial" w:hAnsi="Arial" w:cs="Arial"/>
          <w:sz w:val="22"/>
          <w:szCs w:val="22"/>
        </w:rPr>
        <w:t xml:space="preserve"> a) </w:t>
      </w:r>
      <w:r w:rsidRPr="00C2649E">
        <w:rPr>
          <w:rFonts w:ascii="Arial" w:hAnsi="Arial" w:cs="Arial"/>
          <w:sz w:val="22"/>
          <w:szCs w:val="22"/>
        </w:rPr>
        <w:t>la comparabilité des frais liés aux comptes de paiement,</w:t>
      </w:r>
      <w:r>
        <w:rPr>
          <w:rFonts w:ascii="Arial" w:hAnsi="Arial" w:cs="Arial"/>
          <w:sz w:val="22"/>
          <w:szCs w:val="22"/>
        </w:rPr>
        <w:t xml:space="preserve"> b) </w:t>
      </w:r>
      <w:r w:rsidRPr="00C2649E">
        <w:rPr>
          <w:rFonts w:ascii="Arial" w:hAnsi="Arial" w:cs="Arial"/>
          <w:sz w:val="22"/>
          <w:szCs w:val="22"/>
        </w:rPr>
        <w:t>la mobilité bancaire et</w:t>
      </w:r>
      <w:r>
        <w:rPr>
          <w:rFonts w:ascii="Arial" w:hAnsi="Arial" w:cs="Arial"/>
          <w:sz w:val="22"/>
          <w:szCs w:val="22"/>
        </w:rPr>
        <w:t xml:space="preserve"> c) </w:t>
      </w:r>
      <w:r w:rsidRPr="00C2649E">
        <w:rPr>
          <w:rFonts w:ascii="Arial" w:hAnsi="Arial" w:cs="Arial"/>
          <w:sz w:val="22"/>
          <w:szCs w:val="22"/>
        </w:rPr>
        <w:t>le droit d’accès à un compte de paiement de base.</w:t>
      </w:r>
    </w:p>
    <w:p w:rsidR="00D51562" w:rsidRDefault="00D51562" w:rsidP="00D51562">
      <w:pPr>
        <w:pStyle w:val="Default"/>
        <w:jc w:val="both"/>
        <w:rPr>
          <w:rFonts w:ascii="Arial" w:hAnsi="Arial" w:cs="Arial"/>
          <w:sz w:val="22"/>
          <w:szCs w:val="22"/>
        </w:rPr>
      </w:pPr>
    </w:p>
    <w:p w:rsidR="00D51562" w:rsidRPr="00C2649E" w:rsidRDefault="00D51562" w:rsidP="00D51562">
      <w:pPr>
        <w:pStyle w:val="Default"/>
        <w:jc w:val="both"/>
        <w:rPr>
          <w:rFonts w:ascii="Arial" w:hAnsi="Arial" w:cs="Arial"/>
          <w:sz w:val="22"/>
          <w:szCs w:val="22"/>
        </w:rPr>
      </w:pPr>
      <w:r w:rsidRPr="00C2649E">
        <w:rPr>
          <w:rFonts w:ascii="Arial" w:hAnsi="Arial" w:cs="Arial"/>
          <w:sz w:val="22"/>
          <w:szCs w:val="22"/>
        </w:rPr>
        <w:t>Alors que la directive 2007/64/CE du Parlement européen et du Conseil a défini des exigences de base en matière de transparence des frais facturés par les prestataires de services de paiement pour les services proposés dans le cadre de comptes de paiement, le manque actuel de transparence et de comparabilité des frais et les difficultés liées au changement de compte de paiement continue</w:t>
      </w:r>
      <w:r w:rsidR="008621D5">
        <w:rPr>
          <w:rFonts w:ascii="Arial" w:hAnsi="Arial" w:cs="Arial"/>
          <w:sz w:val="22"/>
          <w:szCs w:val="22"/>
        </w:rPr>
        <w:t>nt</w:t>
      </w:r>
      <w:r w:rsidRPr="00C2649E">
        <w:rPr>
          <w:rFonts w:ascii="Arial" w:hAnsi="Arial" w:cs="Arial"/>
          <w:sz w:val="22"/>
          <w:szCs w:val="22"/>
        </w:rPr>
        <w:t xml:space="preserve"> de faire obstacle au déploiement d’un marché </w:t>
      </w:r>
      <w:r w:rsidR="008509FE">
        <w:rPr>
          <w:rFonts w:ascii="Arial" w:hAnsi="Arial" w:cs="Arial"/>
          <w:sz w:val="22"/>
          <w:szCs w:val="22"/>
        </w:rPr>
        <w:t xml:space="preserve">des services bancaires de détail </w:t>
      </w:r>
      <w:r w:rsidRPr="00C2649E">
        <w:rPr>
          <w:rFonts w:ascii="Arial" w:hAnsi="Arial" w:cs="Arial"/>
          <w:sz w:val="22"/>
          <w:szCs w:val="22"/>
        </w:rPr>
        <w:t>pleinement intégré.</w:t>
      </w:r>
      <w:r>
        <w:rPr>
          <w:rFonts w:ascii="Arial" w:hAnsi="Arial" w:cs="Arial"/>
          <w:sz w:val="22"/>
          <w:szCs w:val="22"/>
        </w:rPr>
        <w:t xml:space="preserve"> En outre, </w:t>
      </w:r>
      <w:r w:rsidR="00B92813">
        <w:rPr>
          <w:rFonts w:ascii="Arial" w:hAnsi="Arial" w:cs="Arial"/>
          <w:sz w:val="22"/>
          <w:szCs w:val="22"/>
        </w:rPr>
        <w:t>afin de lutter contre l’exclusion financière, tout consommateur devrait avoir droit à un compte de paiement de base</w:t>
      </w:r>
      <w:r>
        <w:rPr>
          <w:rFonts w:ascii="Arial" w:hAnsi="Arial" w:cs="Arial"/>
          <w:sz w:val="22"/>
          <w:szCs w:val="22"/>
        </w:rPr>
        <w:t xml:space="preserve">. </w:t>
      </w:r>
      <w:r w:rsidRPr="00C2649E">
        <w:rPr>
          <w:rFonts w:ascii="Arial" w:hAnsi="Arial" w:cs="Arial"/>
          <w:sz w:val="22"/>
          <w:szCs w:val="22"/>
        </w:rPr>
        <w:t xml:space="preserve"> </w:t>
      </w:r>
    </w:p>
    <w:p w:rsidR="00D51562" w:rsidRPr="00C2649E" w:rsidRDefault="00D51562" w:rsidP="00D51562">
      <w:pPr>
        <w:widowControl w:val="0"/>
        <w:autoSpaceDE w:val="0"/>
        <w:autoSpaceDN w:val="0"/>
        <w:adjustRightInd w:val="0"/>
        <w:spacing w:after="0" w:line="240" w:lineRule="auto"/>
        <w:jc w:val="both"/>
        <w:rPr>
          <w:rFonts w:ascii="Arial" w:hAnsi="Arial" w:cs="Arial"/>
          <w:color w:val="000000"/>
          <w:lang w:val="fr-FR"/>
        </w:rPr>
      </w:pPr>
    </w:p>
    <w:p w:rsidR="00D51562" w:rsidRPr="00C2649E" w:rsidRDefault="00D51562" w:rsidP="00D51562">
      <w:pPr>
        <w:widowControl w:val="0"/>
        <w:autoSpaceDE w:val="0"/>
        <w:autoSpaceDN w:val="0"/>
        <w:adjustRightInd w:val="0"/>
        <w:spacing w:after="0" w:line="240" w:lineRule="auto"/>
        <w:jc w:val="both"/>
        <w:rPr>
          <w:rFonts w:ascii="Arial" w:hAnsi="Arial" w:cs="Arial"/>
          <w:color w:val="000000"/>
          <w:lang w:val="fr-FR"/>
        </w:rPr>
      </w:pPr>
      <w:r w:rsidRPr="00C2649E">
        <w:rPr>
          <w:rFonts w:ascii="Arial" w:hAnsi="Arial" w:cs="Arial"/>
          <w:color w:val="000000"/>
          <w:lang w:val="fr-FR"/>
        </w:rPr>
        <w:t>C’est ainsi que l</w:t>
      </w:r>
      <w:r w:rsidRPr="00C2649E">
        <w:rPr>
          <w:rFonts w:ascii="Arial" w:hAnsi="Arial" w:cs="Arial"/>
          <w:lang w:val="fr-FR"/>
        </w:rPr>
        <w:t>a direc</w:t>
      </w:r>
      <w:r w:rsidRPr="00C2649E">
        <w:rPr>
          <w:rFonts w:ascii="Arial" w:hAnsi="Arial" w:cs="Arial"/>
          <w:lang w:val="fr-FR"/>
        </w:rPr>
        <w:softHyphen/>
        <w:t xml:space="preserve">tive 2014/92/UE </w:t>
      </w:r>
      <w:r w:rsidRPr="00C2649E">
        <w:rPr>
          <w:rFonts w:ascii="Arial" w:hAnsi="Arial" w:cs="Arial"/>
          <w:color w:val="000000"/>
          <w:lang w:val="fr-FR"/>
        </w:rPr>
        <w:t xml:space="preserve">fixe </w:t>
      </w:r>
    </w:p>
    <w:p w:rsidR="00D51562" w:rsidRPr="00C2649E" w:rsidRDefault="00D51562" w:rsidP="00D51562">
      <w:pPr>
        <w:widowControl w:val="0"/>
        <w:numPr>
          <w:ilvl w:val="0"/>
          <w:numId w:val="8"/>
        </w:numPr>
        <w:autoSpaceDE w:val="0"/>
        <w:autoSpaceDN w:val="0"/>
        <w:adjustRightInd w:val="0"/>
        <w:spacing w:after="0" w:line="240" w:lineRule="auto"/>
        <w:jc w:val="both"/>
        <w:rPr>
          <w:rFonts w:ascii="Arial" w:hAnsi="Arial" w:cs="Arial"/>
          <w:color w:val="000000"/>
          <w:lang w:val="fr-FR"/>
        </w:rPr>
      </w:pPr>
      <w:r w:rsidRPr="00C2649E">
        <w:rPr>
          <w:rFonts w:ascii="Arial" w:hAnsi="Arial" w:cs="Arial"/>
          <w:color w:val="000000"/>
          <w:lang w:val="fr-FR"/>
        </w:rPr>
        <w:t>des règles relatives à la transparence et à la comparabilité des frais facturés aux consommateurs pour les comptes de paiement qu’ils détiennent dans l’Union</w:t>
      </w:r>
      <w:r>
        <w:rPr>
          <w:rFonts w:ascii="Arial" w:hAnsi="Arial" w:cs="Arial"/>
          <w:color w:val="000000"/>
          <w:lang w:val="fr-FR"/>
        </w:rPr>
        <w:t xml:space="preserve"> européenne,</w:t>
      </w:r>
    </w:p>
    <w:p w:rsidR="00D51562" w:rsidRPr="00C2649E" w:rsidRDefault="00D51562" w:rsidP="00D51562">
      <w:pPr>
        <w:widowControl w:val="0"/>
        <w:numPr>
          <w:ilvl w:val="0"/>
          <w:numId w:val="8"/>
        </w:numPr>
        <w:autoSpaceDE w:val="0"/>
        <w:autoSpaceDN w:val="0"/>
        <w:adjustRightInd w:val="0"/>
        <w:spacing w:after="0" w:line="240" w:lineRule="auto"/>
        <w:jc w:val="both"/>
        <w:rPr>
          <w:rFonts w:ascii="Arial" w:hAnsi="Arial" w:cs="Arial"/>
          <w:color w:val="000000"/>
          <w:lang w:val="fr-FR"/>
        </w:rPr>
      </w:pPr>
      <w:r w:rsidRPr="00C2649E">
        <w:rPr>
          <w:rFonts w:ascii="Arial" w:hAnsi="Arial" w:cs="Arial"/>
          <w:color w:val="000000"/>
          <w:lang w:val="fr-FR"/>
        </w:rPr>
        <w:t>des règles concernant le changement de compte de paiement dans un État membre</w:t>
      </w:r>
      <w:r w:rsidR="00B92813">
        <w:rPr>
          <w:rFonts w:ascii="Arial" w:hAnsi="Arial" w:cs="Arial"/>
          <w:color w:val="000000"/>
          <w:lang w:val="fr-FR"/>
        </w:rPr>
        <w:t xml:space="preserve">, des règles visant à faciliter l’ouverture transfrontalière d’un compte de paiement, </w:t>
      </w:r>
      <w:r w:rsidRPr="00C2649E">
        <w:rPr>
          <w:rFonts w:ascii="Arial" w:hAnsi="Arial" w:cs="Arial"/>
          <w:color w:val="000000"/>
          <w:lang w:val="fr-FR"/>
        </w:rPr>
        <w:t>et</w:t>
      </w:r>
    </w:p>
    <w:p w:rsidR="00D51562" w:rsidRPr="00C2649E" w:rsidRDefault="00D51562" w:rsidP="00D51562">
      <w:pPr>
        <w:widowControl w:val="0"/>
        <w:numPr>
          <w:ilvl w:val="0"/>
          <w:numId w:val="8"/>
        </w:numPr>
        <w:autoSpaceDE w:val="0"/>
        <w:autoSpaceDN w:val="0"/>
        <w:adjustRightInd w:val="0"/>
        <w:spacing w:after="0" w:line="240" w:lineRule="auto"/>
        <w:jc w:val="both"/>
        <w:rPr>
          <w:rFonts w:ascii="Arial" w:hAnsi="Arial" w:cs="Arial"/>
          <w:color w:val="000000"/>
          <w:lang w:val="fr-FR"/>
        </w:rPr>
      </w:pPr>
      <w:r w:rsidRPr="00C2649E">
        <w:rPr>
          <w:rFonts w:ascii="Arial" w:hAnsi="Arial" w:cs="Arial"/>
          <w:color w:val="000000"/>
          <w:lang w:val="fr-FR"/>
        </w:rPr>
        <w:t>des règles visant à</w:t>
      </w:r>
      <w:r w:rsidR="00B92813">
        <w:rPr>
          <w:rFonts w:ascii="Arial" w:hAnsi="Arial" w:cs="Arial"/>
          <w:color w:val="000000"/>
          <w:lang w:val="fr-FR"/>
        </w:rPr>
        <w:t xml:space="preserve"> assurer aux consommateurs l’accès à </w:t>
      </w:r>
      <w:r w:rsidR="00B92813" w:rsidRPr="00C2649E">
        <w:rPr>
          <w:rFonts w:ascii="Arial" w:hAnsi="Arial" w:cs="Arial"/>
          <w:color w:val="000000"/>
          <w:lang w:val="fr-FR"/>
        </w:rPr>
        <w:t>’un compte de paiement</w:t>
      </w:r>
      <w:r w:rsidR="00B92813">
        <w:rPr>
          <w:rFonts w:ascii="Arial" w:hAnsi="Arial" w:cs="Arial"/>
          <w:color w:val="000000"/>
          <w:lang w:val="fr-FR"/>
        </w:rPr>
        <w:t xml:space="preserve"> assorti de prestations de base</w:t>
      </w:r>
      <w:r w:rsidRPr="00C2649E">
        <w:rPr>
          <w:rFonts w:ascii="Arial" w:hAnsi="Arial" w:cs="Arial"/>
          <w:color w:val="000000"/>
          <w:lang w:val="fr-FR"/>
        </w:rPr>
        <w:t xml:space="preserve">. </w:t>
      </w:r>
    </w:p>
    <w:p w:rsidR="00D51562" w:rsidRPr="00CD4F7E" w:rsidRDefault="00D51562" w:rsidP="00D51562">
      <w:pPr>
        <w:widowControl w:val="0"/>
        <w:tabs>
          <w:tab w:val="left" w:pos="220"/>
          <w:tab w:val="left" w:pos="720"/>
        </w:tabs>
        <w:autoSpaceDE w:val="0"/>
        <w:autoSpaceDN w:val="0"/>
        <w:adjustRightInd w:val="0"/>
        <w:spacing w:after="240" w:line="240" w:lineRule="auto"/>
        <w:jc w:val="both"/>
        <w:rPr>
          <w:rFonts w:ascii="Arial" w:hAnsi="Arial" w:cs="Arial"/>
          <w:b/>
          <w:color w:val="000000"/>
          <w:lang w:val="fr-FR"/>
        </w:rPr>
      </w:pPr>
    </w:p>
    <w:p w:rsidR="00D51562" w:rsidRPr="00CD4F7E" w:rsidRDefault="00D51562" w:rsidP="00D51562">
      <w:pPr>
        <w:widowControl w:val="0"/>
        <w:autoSpaceDE w:val="0"/>
        <w:autoSpaceDN w:val="0"/>
        <w:adjustRightInd w:val="0"/>
        <w:spacing w:after="240" w:line="240" w:lineRule="auto"/>
        <w:jc w:val="both"/>
        <w:rPr>
          <w:rFonts w:ascii="Arial" w:hAnsi="Arial" w:cs="Arial"/>
          <w:b/>
          <w:color w:val="000000"/>
          <w:lang w:val="fr-FR"/>
        </w:rPr>
      </w:pPr>
      <w:r w:rsidRPr="00CD4F7E">
        <w:rPr>
          <w:rFonts w:ascii="Arial" w:hAnsi="Arial" w:cs="Arial"/>
          <w:b/>
          <w:color w:val="000000"/>
          <w:lang w:val="fr-FR"/>
        </w:rPr>
        <w:t>a) Transparence et comparabilité des frais</w:t>
      </w:r>
    </w:p>
    <w:p w:rsidR="00D51562" w:rsidRPr="0052011D" w:rsidRDefault="00D51562" w:rsidP="00D51562">
      <w:pPr>
        <w:widowControl w:val="0"/>
        <w:autoSpaceDE w:val="0"/>
        <w:autoSpaceDN w:val="0"/>
        <w:adjustRightInd w:val="0"/>
        <w:spacing w:after="240" w:line="240" w:lineRule="auto"/>
        <w:jc w:val="both"/>
        <w:rPr>
          <w:rFonts w:ascii="Arial" w:hAnsi="Arial" w:cs="Arial"/>
          <w:color w:val="000000"/>
          <w:lang w:val="fr-FR"/>
        </w:rPr>
      </w:pPr>
      <w:r w:rsidRPr="00C2649E">
        <w:rPr>
          <w:rFonts w:ascii="Arial" w:hAnsi="Arial" w:cs="Arial"/>
          <w:color w:val="000000"/>
          <w:lang w:val="fr-FR"/>
        </w:rPr>
        <w:t xml:space="preserve">Grâce à une transparence accrue favorisée par l’emploi d’une </w:t>
      </w:r>
      <w:r w:rsidRPr="00C2649E">
        <w:rPr>
          <w:rFonts w:ascii="Arial" w:hAnsi="Arial" w:cs="Arial"/>
          <w:b/>
          <w:color w:val="000000"/>
          <w:lang w:val="fr-FR"/>
        </w:rPr>
        <w:t xml:space="preserve">terminologie </w:t>
      </w:r>
      <w:r w:rsidRPr="0052011D">
        <w:rPr>
          <w:rFonts w:ascii="Arial" w:hAnsi="Arial" w:cs="Arial"/>
          <w:b/>
          <w:color w:val="000000"/>
          <w:lang w:val="fr-FR"/>
        </w:rPr>
        <w:t>standardisée</w:t>
      </w:r>
      <w:r w:rsidRPr="0052011D">
        <w:rPr>
          <w:rFonts w:ascii="Arial" w:hAnsi="Arial" w:cs="Arial"/>
          <w:color w:val="000000"/>
          <w:lang w:val="fr-FR"/>
        </w:rPr>
        <w:t xml:space="preserve"> désignant certains services de base en relation avec le compte de paiement et la fourniture d’informations ciblées sur les frais liés à ces services, le consommateur sera mieux informé et par conséquent en mesure de choisir en toute con</w:t>
      </w:r>
      <w:r w:rsidR="008621D5">
        <w:rPr>
          <w:rFonts w:ascii="Arial" w:hAnsi="Arial" w:cs="Arial"/>
          <w:color w:val="000000"/>
          <w:lang w:val="fr-FR"/>
        </w:rPr>
        <w:t xml:space="preserve">naissance de cause le compte de </w:t>
      </w:r>
      <w:r w:rsidRPr="0052011D">
        <w:rPr>
          <w:rFonts w:ascii="Arial" w:hAnsi="Arial" w:cs="Arial"/>
          <w:color w:val="000000"/>
          <w:lang w:val="fr-FR"/>
        </w:rPr>
        <w:t xml:space="preserve">paiement le mieux adapté à ses besoins. </w:t>
      </w:r>
    </w:p>
    <w:p w:rsidR="00D51562" w:rsidRDefault="00D51562" w:rsidP="00D51562">
      <w:pPr>
        <w:widowControl w:val="0"/>
        <w:autoSpaceDE w:val="0"/>
        <w:autoSpaceDN w:val="0"/>
        <w:adjustRightInd w:val="0"/>
        <w:spacing w:after="240" w:line="240" w:lineRule="auto"/>
        <w:jc w:val="both"/>
        <w:rPr>
          <w:rFonts w:ascii="Arial" w:hAnsi="Arial" w:cs="Arial"/>
          <w:color w:val="000000"/>
          <w:lang w:val="fr-FR"/>
        </w:rPr>
      </w:pPr>
      <w:r w:rsidRPr="0052011D">
        <w:rPr>
          <w:rFonts w:ascii="Arial" w:hAnsi="Arial" w:cs="Arial"/>
          <w:color w:val="000000"/>
          <w:lang w:val="fr-FR"/>
        </w:rPr>
        <w:t xml:space="preserve">Le projet de loi prévoit au stade précontractuel la mise à disposition d’un </w:t>
      </w:r>
      <w:r w:rsidRPr="0052011D">
        <w:rPr>
          <w:rFonts w:ascii="Arial" w:hAnsi="Arial" w:cs="Arial"/>
          <w:b/>
          <w:color w:val="000000"/>
          <w:lang w:val="fr-FR"/>
        </w:rPr>
        <w:t xml:space="preserve">document d’information tarifaire </w:t>
      </w:r>
      <w:r w:rsidRPr="0052011D">
        <w:rPr>
          <w:rFonts w:ascii="Arial" w:hAnsi="Arial" w:cs="Arial"/>
          <w:color w:val="000000"/>
          <w:lang w:val="fr-FR"/>
        </w:rPr>
        <w:t>qui comporte les services les plus représentatifs rattachés à un compte de paiement et la fourniture d’un glossaire qui expliquera dans un langage clair et dénué d’ambiguïté les services en question et les frais y liés afin de faciliter ainsi la comparaison et la compréhension de la tarification appliquée. En ce qui concerne la fiche standardisée des principaux services rattachés à un compte de paiement et d’une indication de leur coût, il existe à l’heure actuelle une liste provisoire au niveau national, mais il faudra y inclure les termes standardisés qui doivent encore être coordonnés au niveau européen. La fiche standardisée sera introduite par un règlement grand-ducal.</w:t>
      </w:r>
    </w:p>
    <w:p w:rsidR="00D51562" w:rsidRPr="00C2649E" w:rsidRDefault="00D51562" w:rsidP="00D51562">
      <w:pPr>
        <w:widowControl w:val="0"/>
        <w:autoSpaceDE w:val="0"/>
        <w:autoSpaceDN w:val="0"/>
        <w:adjustRightInd w:val="0"/>
        <w:spacing w:after="240" w:line="240" w:lineRule="auto"/>
        <w:jc w:val="both"/>
        <w:rPr>
          <w:rFonts w:ascii="Arial" w:hAnsi="Arial" w:cs="Arial"/>
          <w:color w:val="000000"/>
          <w:lang w:val="fr-FR"/>
        </w:rPr>
      </w:pPr>
      <w:r w:rsidRPr="00C2649E">
        <w:rPr>
          <w:rFonts w:ascii="Arial" w:hAnsi="Arial" w:cs="Arial"/>
          <w:color w:val="000000"/>
          <w:lang w:val="fr-FR"/>
        </w:rPr>
        <w:t xml:space="preserve">En sus, la loi en projet exige la fourniture en aval d’informations au consommateur au moyen </w:t>
      </w:r>
      <w:r w:rsidRPr="00C2649E">
        <w:rPr>
          <w:rFonts w:ascii="Arial" w:hAnsi="Arial" w:cs="Arial"/>
          <w:color w:val="000000"/>
          <w:lang w:val="fr-FR"/>
        </w:rPr>
        <w:lastRenderedPageBreak/>
        <w:t xml:space="preserve">d’un </w:t>
      </w:r>
      <w:r w:rsidRPr="00C2649E">
        <w:rPr>
          <w:rFonts w:ascii="Arial" w:hAnsi="Arial" w:cs="Arial"/>
          <w:b/>
          <w:color w:val="000000"/>
          <w:lang w:val="fr-FR"/>
        </w:rPr>
        <w:t xml:space="preserve">relevé de frais </w:t>
      </w:r>
      <w:r w:rsidRPr="00C2649E">
        <w:rPr>
          <w:rFonts w:ascii="Arial" w:hAnsi="Arial" w:cs="Arial"/>
          <w:color w:val="000000"/>
          <w:lang w:val="fr-FR"/>
        </w:rPr>
        <w:t xml:space="preserve">qui vise à donner un aperçu global des principaux frais encourus en relation avec l’utilisation du compte de paiement. </w:t>
      </w:r>
    </w:p>
    <w:p w:rsidR="00D51562" w:rsidRPr="00C2649E" w:rsidRDefault="00D51562" w:rsidP="00D51562">
      <w:pPr>
        <w:widowControl w:val="0"/>
        <w:autoSpaceDE w:val="0"/>
        <w:autoSpaceDN w:val="0"/>
        <w:adjustRightInd w:val="0"/>
        <w:spacing w:after="240" w:line="240" w:lineRule="auto"/>
        <w:jc w:val="both"/>
        <w:rPr>
          <w:rFonts w:ascii="Arial" w:hAnsi="Arial" w:cs="Arial"/>
          <w:color w:val="000000"/>
          <w:lang w:val="fr-FR"/>
        </w:rPr>
      </w:pPr>
      <w:r w:rsidRPr="00C2649E">
        <w:rPr>
          <w:rFonts w:ascii="Arial" w:hAnsi="Arial" w:cs="Arial"/>
          <w:color w:val="000000"/>
          <w:lang w:val="fr-FR"/>
        </w:rPr>
        <w:t xml:space="preserve">La Commission de surveillance du secteur financier (CSSF) est désignée autorité compétente et sera dotée des pouvoirs de surveillance et d’enquête nécessaires à l’exercice de ses fonctions aux fins de l’application du présent projet de loi. Elle est </w:t>
      </w:r>
      <w:r>
        <w:rPr>
          <w:rFonts w:ascii="Arial" w:hAnsi="Arial" w:cs="Arial"/>
          <w:color w:val="000000"/>
          <w:lang w:val="fr-FR"/>
        </w:rPr>
        <w:t xml:space="preserve">également </w:t>
      </w:r>
      <w:r w:rsidRPr="00C2649E">
        <w:rPr>
          <w:rFonts w:ascii="Arial" w:hAnsi="Arial" w:cs="Arial"/>
          <w:color w:val="000000"/>
          <w:lang w:val="fr-FR"/>
        </w:rPr>
        <w:t xml:space="preserve">chargée de mettre en place et de gérer un </w:t>
      </w:r>
      <w:r w:rsidRPr="00C2649E">
        <w:rPr>
          <w:rFonts w:ascii="Arial" w:hAnsi="Arial" w:cs="Arial"/>
          <w:b/>
          <w:color w:val="000000"/>
          <w:lang w:val="fr-FR"/>
        </w:rPr>
        <w:t>site internet</w:t>
      </w:r>
      <w:r w:rsidRPr="00C2649E">
        <w:rPr>
          <w:rFonts w:ascii="Arial" w:hAnsi="Arial" w:cs="Arial"/>
          <w:color w:val="000000"/>
          <w:lang w:val="fr-FR"/>
        </w:rPr>
        <w:t xml:space="preserve"> comparateur permettant aux consommateurs de comparer gratuitement les principaux frais facturés en lien avec le compte de paiement.</w:t>
      </w:r>
    </w:p>
    <w:p w:rsidR="00D51562" w:rsidRPr="00CD4F7E" w:rsidRDefault="00D51562" w:rsidP="00D51562">
      <w:pPr>
        <w:widowControl w:val="0"/>
        <w:tabs>
          <w:tab w:val="left" w:pos="220"/>
          <w:tab w:val="left" w:pos="720"/>
        </w:tabs>
        <w:autoSpaceDE w:val="0"/>
        <w:autoSpaceDN w:val="0"/>
        <w:adjustRightInd w:val="0"/>
        <w:spacing w:after="240" w:line="240" w:lineRule="auto"/>
        <w:jc w:val="both"/>
        <w:rPr>
          <w:rFonts w:ascii="Arial" w:hAnsi="Arial" w:cs="Arial"/>
          <w:b/>
          <w:color w:val="000000"/>
          <w:lang w:val="fr-FR"/>
        </w:rPr>
      </w:pPr>
      <w:r w:rsidRPr="00CD4F7E">
        <w:rPr>
          <w:rFonts w:ascii="Arial" w:hAnsi="Arial" w:cs="Arial"/>
          <w:b/>
          <w:color w:val="000000"/>
          <w:lang w:val="fr-FR"/>
        </w:rPr>
        <w:t xml:space="preserve">b) </w:t>
      </w:r>
      <w:r w:rsidRPr="00CD4F7E">
        <w:rPr>
          <w:rFonts w:ascii="Arial" w:hAnsi="Arial" w:cs="Arial"/>
          <w:b/>
          <w:lang w:val="fr-FR"/>
        </w:rPr>
        <w:t>Mobilité bancaire</w:t>
      </w:r>
    </w:p>
    <w:p w:rsidR="00D51562" w:rsidRPr="00C2649E" w:rsidRDefault="00D51562" w:rsidP="00D51562">
      <w:pPr>
        <w:widowControl w:val="0"/>
        <w:autoSpaceDE w:val="0"/>
        <w:autoSpaceDN w:val="0"/>
        <w:adjustRightInd w:val="0"/>
        <w:spacing w:after="240" w:line="240" w:lineRule="auto"/>
        <w:jc w:val="both"/>
        <w:rPr>
          <w:rFonts w:ascii="Arial" w:hAnsi="Arial" w:cs="Arial"/>
          <w:color w:val="000000"/>
          <w:lang w:val="fr-FR"/>
        </w:rPr>
      </w:pPr>
      <w:r w:rsidRPr="00C2649E">
        <w:rPr>
          <w:rFonts w:ascii="Arial" w:hAnsi="Arial" w:cs="Arial"/>
          <w:color w:val="000000"/>
          <w:lang w:val="fr-FR"/>
        </w:rPr>
        <w:t xml:space="preserve">Dans un souci d’encourager la mobilité bancaire des consommateurs, le </w:t>
      </w:r>
      <w:r>
        <w:rPr>
          <w:rFonts w:ascii="Arial" w:hAnsi="Arial" w:cs="Arial"/>
          <w:color w:val="000000"/>
          <w:lang w:val="fr-FR"/>
        </w:rPr>
        <w:t xml:space="preserve">projet de loi </w:t>
      </w:r>
      <w:r w:rsidRPr="00C2649E">
        <w:rPr>
          <w:rFonts w:ascii="Arial" w:hAnsi="Arial" w:cs="Arial"/>
          <w:color w:val="000000"/>
          <w:lang w:val="fr-FR"/>
        </w:rPr>
        <w:t xml:space="preserve">reprend les </w:t>
      </w:r>
      <w:r w:rsidRPr="00C2649E">
        <w:rPr>
          <w:rFonts w:ascii="Arial" w:hAnsi="Arial" w:cs="Arial"/>
          <w:b/>
          <w:color w:val="000000"/>
          <w:lang w:val="fr-FR"/>
        </w:rPr>
        <w:t xml:space="preserve">règles </w:t>
      </w:r>
      <w:r w:rsidRPr="0052011D">
        <w:rPr>
          <w:rFonts w:ascii="Arial" w:hAnsi="Arial" w:cs="Arial"/>
          <w:b/>
          <w:color w:val="000000"/>
          <w:lang w:val="fr-FR"/>
        </w:rPr>
        <w:t>uniformes en matière de changement de compte de paiement</w:t>
      </w:r>
      <w:r w:rsidRPr="0052011D">
        <w:rPr>
          <w:rFonts w:ascii="Arial" w:hAnsi="Arial" w:cs="Arial"/>
          <w:color w:val="000000"/>
          <w:lang w:val="fr-FR"/>
        </w:rPr>
        <w:t xml:space="preserve"> établies par la directive 2014/92/UE. Les dispositions afférentes qui visent à faciliter le changement de compte de paiement </w:t>
      </w:r>
      <w:r w:rsidR="00B92813">
        <w:rPr>
          <w:rFonts w:ascii="Arial" w:hAnsi="Arial" w:cs="Arial"/>
          <w:color w:val="000000"/>
          <w:lang w:val="fr-FR"/>
        </w:rPr>
        <w:t xml:space="preserve">à l’échelle nationale </w:t>
      </w:r>
      <w:r w:rsidRPr="0052011D">
        <w:rPr>
          <w:rFonts w:ascii="Arial" w:hAnsi="Arial" w:cs="Arial"/>
          <w:color w:val="000000"/>
          <w:lang w:val="fr-FR"/>
        </w:rPr>
        <w:t>devraient permettre aux consommateurs de bénéficier des offres du marché bancaire de détail les plus adaptées à leurs besoins et de passer facilement de leur compte de paiement existant à un autre compte susceptible de mieux leur convenir. Le service rendu par les établissements bancaires lors d’un changement de compte de paiement n’est pas gratuit mais peut être facturé à un tarif adapté qui vise à couvrir les frais de l’opération encourus par les établissements bancaires.</w:t>
      </w:r>
      <w:r w:rsidR="00B92813">
        <w:rPr>
          <w:rFonts w:ascii="Arial" w:hAnsi="Arial" w:cs="Arial"/>
          <w:color w:val="000000"/>
          <w:lang w:val="fr-FR"/>
        </w:rPr>
        <w:t xml:space="preserve"> </w:t>
      </w:r>
      <w:r w:rsidR="00B92813" w:rsidRPr="00D66113">
        <w:rPr>
          <w:rFonts w:ascii="Arial" w:hAnsi="Arial" w:cs="Arial"/>
          <w:color w:val="000000"/>
        </w:rPr>
        <w:t xml:space="preserve">En sus, </w:t>
      </w:r>
      <w:r w:rsidR="00B92813">
        <w:rPr>
          <w:rFonts w:ascii="Arial" w:hAnsi="Arial" w:cs="Arial"/>
          <w:color w:val="000000"/>
        </w:rPr>
        <w:t>les prestataires de services de paiement devront fournir sur demande une assistance aux consommateurs qui</w:t>
      </w:r>
      <w:r w:rsidR="00B92813" w:rsidRPr="00D66113">
        <w:rPr>
          <w:rFonts w:ascii="Arial" w:hAnsi="Arial" w:cs="Arial"/>
          <w:color w:val="000000"/>
        </w:rPr>
        <w:t xml:space="preserve"> souhaite</w:t>
      </w:r>
      <w:r w:rsidR="00B92813">
        <w:rPr>
          <w:rFonts w:ascii="Arial" w:hAnsi="Arial" w:cs="Arial"/>
          <w:color w:val="000000"/>
        </w:rPr>
        <w:t>nt</w:t>
      </w:r>
      <w:r w:rsidR="00B92813" w:rsidRPr="00D66113">
        <w:rPr>
          <w:rFonts w:ascii="Arial" w:hAnsi="Arial" w:cs="Arial"/>
          <w:color w:val="000000"/>
        </w:rPr>
        <w:t xml:space="preserve"> ouvrir un compte auprès d’un prestataire de services de paiement situé dans un autre Etat membre</w:t>
      </w:r>
      <w:r w:rsidR="00B92813">
        <w:rPr>
          <w:rFonts w:ascii="Arial" w:hAnsi="Arial" w:cs="Arial"/>
          <w:color w:val="000000"/>
        </w:rPr>
        <w:t>.</w:t>
      </w:r>
      <w:r w:rsidRPr="001449A1">
        <w:rPr>
          <w:rFonts w:ascii="Arial" w:hAnsi="Arial" w:cs="Arial"/>
          <w:color w:val="000000"/>
          <w:sz w:val="29"/>
          <w:szCs w:val="29"/>
        </w:rPr>
        <w:t xml:space="preserve"> </w:t>
      </w:r>
    </w:p>
    <w:p w:rsidR="00D51562" w:rsidRPr="00CD4F7E" w:rsidRDefault="00D51562" w:rsidP="00D51562">
      <w:pPr>
        <w:widowControl w:val="0"/>
        <w:autoSpaceDE w:val="0"/>
        <w:autoSpaceDN w:val="0"/>
        <w:adjustRightInd w:val="0"/>
        <w:spacing w:after="240" w:line="240" w:lineRule="auto"/>
        <w:jc w:val="both"/>
        <w:rPr>
          <w:rFonts w:ascii="Arial" w:hAnsi="Arial" w:cs="Arial"/>
          <w:b/>
          <w:color w:val="000000"/>
          <w:lang w:val="fr-FR"/>
        </w:rPr>
      </w:pPr>
      <w:r w:rsidRPr="00CD4F7E">
        <w:rPr>
          <w:rFonts w:ascii="Arial" w:hAnsi="Arial" w:cs="Arial"/>
          <w:b/>
          <w:lang w:val="fr-FR"/>
        </w:rPr>
        <w:t>c) Droit d’accès à un compte de paiement de base</w:t>
      </w:r>
    </w:p>
    <w:p w:rsidR="00D51562" w:rsidRDefault="00D51562" w:rsidP="00D51562">
      <w:pPr>
        <w:widowControl w:val="0"/>
        <w:autoSpaceDE w:val="0"/>
        <w:autoSpaceDN w:val="0"/>
        <w:adjustRightInd w:val="0"/>
        <w:spacing w:after="240" w:line="240" w:lineRule="auto"/>
        <w:jc w:val="both"/>
        <w:rPr>
          <w:rFonts w:ascii="Arial" w:hAnsi="Arial" w:cs="Arial"/>
          <w:color w:val="000000"/>
          <w:lang w:val="fr-FR"/>
        </w:rPr>
      </w:pPr>
      <w:r w:rsidRPr="00C2649E">
        <w:rPr>
          <w:rFonts w:ascii="Arial" w:hAnsi="Arial" w:cs="Arial"/>
          <w:color w:val="000000"/>
          <w:lang w:val="fr-FR"/>
        </w:rPr>
        <w:t xml:space="preserve">L’inclusion financière fait </w:t>
      </w:r>
      <w:r>
        <w:rPr>
          <w:rFonts w:ascii="Arial" w:hAnsi="Arial" w:cs="Arial"/>
          <w:color w:val="000000"/>
          <w:lang w:val="fr-FR"/>
        </w:rPr>
        <w:t xml:space="preserve">également </w:t>
      </w:r>
      <w:r w:rsidRPr="00C2649E">
        <w:rPr>
          <w:rFonts w:ascii="Arial" w:hAnsi="Arial" w:cs="Arial"/>
          <w:color w:val="000000"/>
          <w:lang w:val="fr-FR"/>
        </w:rPr>
        <w:t xml:space="preserve">objet </w:t>
      </w:r>
      <w:r>
        <w:rPr>
          <w:rFonts w:ascii="Arial" w:hAnsi="Arial" w:cs="Arial"/>
          <w:color w:val="000000"/>
          <w:lang w:val="fr-FR"/>
        </w:rPr>
        <w:t>du projet sous rubrique</w:t>
      </w:r>
      <w:r w:rsidRPr="00C2649E">
        <w:rPr>
          <w:rFonts w:ascii="Arial" w:hAnsi="Arial" w:cs="Arial"/>
          <w:color w:val="000000"/>
          <w:lang w:val="fr-FR"/>
        </w:rPr>
        <w:t>.</w:t>
      </w:r>
      <w:r>
        <w:rPr>
          <w:rFonts w:ascii="Arial" w:hAnsi="Arial" w:cs="Arial"/>
          <w:color w:val="000000"/>
          <w:lang w:val="fr-FR"/>
        </w:rPr>
        <w:t xml:space="preserve"> </w:t>
      </w:r>
      <w:r w:rsidRPr="00C2649E">
        <w:rPr>
          <w:rFonts w:ascii="Arial" w:hAnsi="Arial" w:cs="Arial"/>
          <w:color w:val="000000"/>
          <w:lang w:val="fr-FR"/>
        </w:rPr>
        <w:t xml:space="preserve">Le législateur luxembourgeois a souhaité prévenir l’exclusion financière en instaurant le droit au compte de base par le compte chèque postal dans l’article 3 de la loi modifiée du 15 décembre 2000 sur les services financiers postaux. Au vu des exigences additionnelles imposées par la directive 2014/92/UE, la loi en projet étend le cercle des </w:t>
      </w:r>
      <w:r w:rsidRPr="008C5B23">
        <w:rPr>
          <w:rFonts w:ascii="Arial" w:hAnsi="Arial" w:cs="Arial"/>
          <w:b/>
          <w:color w:val="000000"/>
          <w:lang w:val="fr-FR"/>
        </w:rPr>
        <w:t>établissements luxembourgeois qui sont obligés de proposer et de permettre l’utilisation de comptes de paiement de base</w:t>
      </w:r>
      <w:r w:rsidRPr="00C2649E">
        <w:rPr>
          <w:rFonts w:ascii="Arial" w:hAnsi="Arial" w:cs="Arial"/>
          <w:color w:val="000000"/>
          <w:lang w:val="fr-FR"/>
        </w:rPr>
        <w:t xml:space="preserve"> aux principales banques actives dans le segment de </w:t>
      </w:r>
      <w:r>
        <w:rPr>
          <w:rFonts w:ascii="Arial" w:hAnsi="Arial" w:cs="Arial"/>
          <w:color w:val="000000"/>
          <w:lang w:val="fr-FR"/>
        </w:rPr>
        <w:t>la clientèle de détail, confor</w:t>
      </w:r>
      <w:r w:rsidRPr="00C2649E">
        <w:rPr>
          <w:rFonts w:ascii="Arial" w:hAnsi="Arial" w:cs="Arial"/>
          <w:color w:val="000000"/>
          <w:lang w:val="fr-FR"/>
        </w:rPr>
        <w:t>mément a</w:t>
      </w:r>
      <w:r>
        <w:rPr>
          <w:rFonts w:ascii="Arial" w:hAnsi="Arial" w:cs="Arial"/>
          <w:color w:val="000000"/>
          <w:lang w:val="fr-FR"/>
        </w:rPr>
        <w:t xml:space="preserve">u principe de proportionnalité. </w:t>
      </w:r>
      <w:r w:rsidRPr="00C2649E">
        <w:rPr>
          <w:rFonts w:ascii="Arial" w:hAnsi="Arial" w:cs="Arial"/>
          <w:color w:val="000000"/>
          <w:lang w:val="fr-FR"/>
        </w:rPr>
        <w:t xml:space="preserve">Pour éviter des distorsions de concurrence et pour assurer une large couverture du marché des comptes de paiement, deux conditions à satisfaire cumulativement sont retenues dans la loi en projet pour identifier ces établissements. Il s’agit du nombre </w:t>
      </w:r>
      <w:r w:rsidRPr="0052011D">
        <w:rPr>
          <w:rFonts w:ascii="Arial" w:hAnsi="Arial" w:cs="Arial"/>
          <w:color w:val="000000"/>
          <w:lang w:val="fr-FR"/>
        </w:rPr>
        <w:t>d’agences que l’établissement dispose sur le territoire luxembourgeois et du pourcentage de dépôts garantis que l’établissement détient par rapport au total des dépôts garantis au Luxembourg. Les établissements qui tombent actuellement au Luxembourg sous ces critères sont : la BCEE, la Banque Raiffeisen, la BGL BNP Paribas, la BIL et l’</w:t>
      </w:r>
      <w:r w:rsidRPr="002F6751">
        <w:rPr>
          <w:rFonts w:ascii="Arial" w:hAnsi="Arial" w:cs="Arial"/>
          <w:b/>
          <w:color w:val="000000"/>
          <w:lang w:val="fr-FR"/>
        </w:rPr>
        <w:t>entreprise des postes et télécommunications</w:t>
      </w:r>
      <w:r w:rsidRPr="0052011D">
        <w:rPr>
          <w:rFonts w:ascii="Arial" w:hAnsi="Arial" w:cs="Arial"/>
          <w:color w:val="000000"/>
          <w:lang w:val="fr-FR"/>
        </w:rPr>
        <w:t>. Le projet de loi s’applique également à cette dernière en vue d’unifier le droit à l’accès à un compte de paiement de base. En conséquence, le projet de loi abroge l’article 3 de la loi modifiée du 15 décembre 2000 sur les services financiers post</w:t>
      </w:r>
      <w:r>
        <w:rPr>
          <w:rFonts w:ascii="Arial" w:hAnsi="Arial" w:cs="Arial"/>
          <w:color w:val="000000"/>
          <w:lang w:val="fr-FR"/>
        </w:rPr>
        <w:t>aux.</w:t>
      </w:r>
    </w:p>
    <w:p w:rsidR="00D51562" w:rsidRPr="0052011D" w:rsidRDefault="00D51562" w:rsidP="00D51562">
      <w:pPr>
        <w:widowControl w:val="0"/>
        <w:autoSpaceDE w:val="0"/>
        <w:autoSpaceDN w:val="0"/>
        <w:adjustRightInd w:val="0"/>
        <w:spacing w:after="0" w:line="240" w:lineRule="auto"/>
        <w:jc w:val="both"/>
        <w:rPr>
          <w:rFonts w:ascii="Arial" w:hAnsi="Arial" w:cs="Arial"/>
          <w:color w:val="000000"/>
          <w:lang w:val="fr-FR"/>
        </w:rPr>
      </w:pPr>
      <w:r>
        <w:rPr>
          <w:rFonts w:ascii="Arial" w:hAnsi="Arial" w:cs="Arial"/>
          <w:color w:val="000000"/>
          <w:lang w:val="fr-FR"/>
        </w:rPr>
        <w:t>Il est à relever que l</w:t>
      </w:r>
      <w:r w:rsidRPr="0052011D">
        <w:rPr>
          <w:rFonts w:ascii="Arial" w:hAnsi="Arial" w:cs="Arial"/>
          <w:color w:val="000000"/>
          <w:lang w:val="fr-FR"/>
        </w:rPr>
        <w:t xml:space="preserve">e droit d’accès au compte de paiement est introduit sous réserve de l’observation de la loi modifiée du 12 novembre 2004 relative à la </w:t>
      </w:r>
      <w:r w:rsidRPr="00CD4F7E">
        <w:rPr>
          <w:rFonts w:ascii="Arial" w:hAnsi="Arial" w:cs="Arial"/>
          <w:b/>
          <w:color w:val="000000"/>
          <w:lang w:val="fr-FR"/>
        </w:rPr>
        <w:t>lutte contre le blanchiment</w:t>
      </w:r>
      <w:r w:rsidRPr="0052011D">
        <w:rPr>
          <w:rFonts w:ascii="Arial" w:hAnsi="Arial" w:cs="Arial"/>
          <w:color w:val="000000"/>
          <w:lang w:val="fr-FR"/>
        </w:rPr>
        <w:t xml:space="preserve"> et contre le financement du terrorisme. </w:t>
      </w:r>
    </w:p>
    <w:p w:rsidR="002072FA" w:rsidRDefault="002072FA" w:rsidP="00D51562">
      <w:pPr>
        <w:widowControl w:val="0"/>
        <w:autoSpaceDE w:val="0"/>
        <w:autoSpaceDN w:val="0"/>
        <w:adjustRightInd w:val="0"/>
        <w:spacing w:after="0" w:line="240" w:lineRule="auto"/>
        <w:jc w:val="both"/>
        <w:rPr>
          <w:rFonts w:ascii="Arial" w:eastAsia="MS Mincho" w:hAnsi="Arial" w:cs="Arial"/>
          <w:lang w:val="fr-FR"/>
        </w:rPr>
      </w:pPr>
    </w:p>
    <w:p w:rsidR="002072FA" w:rsidRDefault="002072FA" w:rsidP="00D51562">
      <w:pPr>
        <w:widowControl w:val="0"/>
        <w:autoSpaceDE w:val="0"/>
        <w:autoSpaceDN w:val="0"/>
        <w:adjustRightInd w:val="0"/>
        <w:spacing w:after="0" w:line="240" w:lineRule="auto"/>
        <w:jc w:val="both"/>
        <w:rPr>
          <w:rFonts w:ascii="Arial" w:eastAsia="MS Mincho" w:hAnsi="Arial" w:cs="Arial"/>
          <w:lang w:val="fr-FR"/>
        </w:rPr>
      </w:pPr>
    </w:p>
    <w:p w:rsidR="002072FA" w:rsidRPr="00DB329C" w:rsidRDefault="002072FA" w:rsidP="0002273C">
      <w:pPr>
        <w:pStyle w:val="Body"/>
        <w:jc w:val="both"/>
        <w:rPr>
          <w:rFonts w:ascii="Arial" w:eastAsia="Arial" w:hAnsi="Arial" w:cs="Arial"/>
          <w:color w:val="auto"/>
          <w:sz w:val="22"/>
          <w:szCs w:val="22"/>
          <w:u w:color="00B050"/>
        </w:rPr>
      </w:pPr>
    </w:p>
    <w:sectPr w:rsidR="002072FA" w:rsidRPr="00DB329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945" w:rsidRDefault="00262945" w:rsidP="008B75FB">
      <w:pPr>
        <w:spacing w:after="0" w:line="240" w:lineRule="auto"/>
      </w:pPr>
      <w:r>
        <w:separator/>
      </w:r>
    </w:p>
  </w:endnote>
  <w:endnote w:type="continuationSeparator" w:id="0">
    <w:p w:rsidR="00262945" w:rsidRDefault="00262945" w:rsidP="008B7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Swis721 Lt BT">
    <w:altName w:val="Swis721 Lt BT"/>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D1B" w:rsidRDefault="00BF4D1B">
    <w:pPr>
      <w:pStyle w:val="Pieddepage"/>
      <w:jc w:val="center"/>
    </w:pPr>
    <w:r>
      <w:fldChar w:fldCharType="begin"/>
    </w:r>
    <w:r>
      <w:instrText>PAGE   \* MERGEFORMAT</w:instrText>
    </w:r>
    <w:r>
      <w:fldChar w:fldCharType="separate"/>
    </w:r>
    <w:r w:rsidR="00CE6610" w:rsidRPr="00CE6610">
      <w:rPr>
        <w:noProof/>
        <w:lang w:val="fr-FR"/>
      </w:rPr>
      <w:t>1</w:t>
    </w:r>
    <w:r>
      <w:fldChar w:fldCharType="end"/>
    </w:r>
  </w:p>
  <w:p w:rsidR="00BF4D1B" w:rsidRDefault="00BF4D1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945" w:rsidRDefault="00262945" w:rsidP="008B75FB">
      <w:pPr>
        <w:spacing w:after="0" w:line="240" w:lineRule="auto"/>
      </w:pPr>
      <w:r>
        <w:separator/>
      </w:r>
    </w:p>
  </w:footnote>
  <w:footnote w:type="continuationSeparator" w:id="0">
    <w:p w:rsidR="00262945" w:rsidRDefault="00262945" w:rsidP="008B75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C02A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569AD"/>
    <w:multiLevelType w:val="hybridMultilevel"/>
    <w:tmpl w:val="54025D48"/>
    <w:lvl w:ilvl="0" w:tplc="238057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F4C5B"/>
    <w:multiLevelType w:val="hybridMultilevel"/>
    <w:tmpl w:val="294A6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648CE"/>
    <w:multiLevelType w:val="hybridMultilevel"/>
    <w:tmpl w:val="DD0CC520"/>
    <w:lvl w:ilvl="0" w:tplc="E018A7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26367C"/>
    <w:multiLevelType w:val="hybridMultilevel"/>
    <w:tmpl w:val="EE8E8544"/>
    <w:lvl w:ilvl="0" w:tplc="140C000F">
      <w:start w:val="1"/>
      <w:numFmt w:val="decimal"/>
      <w:lvlText w:val="%1."/>
      <w:lvlJc w:val="left"/>
      <w:pPr>
        <w:ind w:left="720" w:hanging="360"/>
      </w:pPr>
      <w:rPr>
        <w:rFonts w:hint="default"/>
        <w:color w:val="auto"/>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1A7D51D6"/>
    <w:multiLevelType w:val="hybridMultilevel"/>
    <w:tmpl w:val="7814F738"/>
    <w:lvl w:ilvl="0" w:tplc="6DA4BA7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849E4"/>
    <w:multiLevelType w:val="hybridMultilevel"/>
    <w:tmpl w:val="0B66A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A5260F"/>
    <w:multiLevelType w:val="hybridMultilevel"/>
    <w:tmpl w:val="A9468C74"/>
    <w:lvl w:ilvl="0" w:tplc="140C000F">
      <w:start w:val="2"/>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4E80F04"/>
    <w:multiLevelType w:val="hybridMultilevel"/>
    <w:tmpl w:val="1F321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A34DE7"/>
    <w:multiLevelType w:val="hybridMultilevel"/>
    <w:tmpl w:val="7C08BCE0"/>
    <w:lvl w:ilvl="0" w:tplc="688C316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BD7DC8"/>
    <w:multiLevelType w:val="hybridMultilevel"/>
    <w:tmpl w:val="BF3C0C3A"/>
    <w:lvl w:ilvl="0" w:tplc="4E3A92D2">
      <w:start w:val="1"/>
      <w:numFmt w:val="decimal"/>
      <w:lvlText w:val="%1."/>
      <w:lvlJc w:val="left"/>
      <w:pPr>
        <w:tabs>
          <w:tab w:val="num" w:pos="1440"/>
        </w:tabs>
        <w:ind w:left="1440" w:hanging="360"/>
      </w:pPr>
      <w:rPr>
        <w:rFonts w:ascii="Arial" w:eastAsia="Times New Roman" w:hAnsi="Arial" w:cs="Arial" w:hint="default"/>
      </w:rPr>
    </w:lvl>
    <w:lvl w:ilvl="1" w:tplc="040C0003">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23272D6"/>
    <w:multiLevelType w:val="hybridMultilevel"/>
    <w:tmpl w:val="74C04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5B0F0F"/>
    <w:multiLevelType w:val="hybridMultilevel"/>
    <w:tmpl w:val="5CC464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877FD2"/>
    <w:multiLevelType w:val="hybridMultilevel"/>
    <w:tmpl w:val="F6EA25A6"/>
    <w:lvl w:ilvl="0" w:tplc="C01A530A">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3DF77DF2"/>
    <w:multiLevelType w:val="hybridMultilevel"/>
    <w:tmpl w:val="1E5AD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4C3976"/>
    <w:multiLevelType w:val="hybridMultilevel"/>
    <w:tmpl w:val="341A4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3F42BD"/>
    <w:multiLevelType w:val="hybridMultilevel"/>
    <w:tmpl w:val="D4B0E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A5288D"/>
    <w:multiLevelType w:val="hybridMultilevel"/>
    <w:tmpl w:val="A836B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100F5E"/>
    <w:multiLevelType w:val="hybridMultilevel"/>
    <w:tmpl w:val="5482977C"/>
    <w:lvl w:ilvl="0" w:tplc="DF70498E">
      <w:start w:val="1"/>
      <w:numFmt w:val="decimal"/>
      <w:lvlText w:val="%1."/>
      <w:lvlJc w:val="left"/>
      <w:pPr>
        <w:ind w:left="644" w:hanging="360"/>
      </w:pPr>
      <w:rPr>
        <w:rFonts w:hint="default"/>
      </w:rPr>
    </w:lvl>
    <w:lvl w:ilvl="1" w:tplc="140C0019" w:tentative="1">
      <w:start w:val="1"/>
      <w:numFmt w:val="lowerLetter"/>
      <w:lvlText w:val="%2."/>
      <w:lvlJc w:val="left"/>
      <w:pPr>
        <w:ind w:left="1364" w:hanging="360"/>
      </w:pPr>
    </w:lvl>
    <w:lvl w:ilvl="2" w:tplc="140C001B" w:tentative="1">
      <w:start w:val="1"/>
      <w:numFmt w:val="lowerRoman"/>
      <w:lvlText w:val="%3."/>
      <w:lvlJc w:val="right"/>
      <w:pPr>
        <w:ind w:left="2084" w:hanging="180"/>
      </w:pPr>
    </w:lvl>
    <w:lvl w:ilvl="3" w:tplc="140C000F" w:tentative="1">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abstractNum w:abstractNumId="19" w15:restartNumberingAfterBreak="0">
    <w:nsid w:val="4A41635B"/>
    <w:multiLevelType w:val="hybridMultilevel"/>
    <w:tmpl w:val="BBC40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8539B3"/>
    <w:multiLevelType w:val="hybridMultilevel"/>
    <w:tmpl w:val="AD38EA88"/>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1" w15:restartNumberingAfterBreak="0">
    <w:nsid w:val="4F7D3F15"/>
    <w:multiLevelType w:val="hybridMultilevel"/>
    <w:tmpl w:val="54780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926768"/>
    <w:multiLevelType w:val="hybridMultilevel"/>
    <w:tmpl w:val="DE0AC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CC2714"/>
    <w:multiLevelType w:val="hybridMultilevel"/>
    <w:tmpl w:val="B60C9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3750FD"/>
    <w:multiLevelType w:val="hybridMultilevel"/>
    <w:tmpl w:val="8C7E4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695C6B"/>
    <w:multiLevelType w:val="hybridMultilevel"/>
    <w:tmpl w:val="DD9AE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A155B5"/>
    <w:multiLevelType w:val="hybridMultilevel"/>
    <w:tmpl w:val="9CB40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A81768"/>
    <w:multiLevelType w:val="multilevel"/>
    <w:tmpl w:val="451CD1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7B7240A"/>
    <w:multiLevelType w:val="hybridMultilevel"/>
    <w:tmpl w:val="8BF81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B65BDB"/>
    <w:multiLevelType w:val="hybridMultilevel"/>
    <w:tmpl w:val="4C06E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1" w15:restartNumberingAfterBreak="0">
    <w:nsid w:val="6F7C2B8B"/>
    <w:multiLevelType w:val="hybridMultilevel"/>
    <w:tmpl w:val="477234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137845"/>
    <w:multiLevelType w:val="hybridMultilevel"/>
    <w:tmpl w:val="2BA83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083A53"/>
    <w:multiLevelType w:val="hybridMultilevel"/>
    <w:tmpl w:val="C2EEAEF2"/>
    <w:lvl w:ilvl="0" w:tplc="EF8A43E2">
      <w:start w:val="1"/>
      <w:numFmt w:val="decimal"/>
      <w:lvlText w:val="%1."/>
      <w:lvlJc w:val="left"/>
      <w:pPr>
        <w:ind w:left="720" w:hanging="360"/>
      </w:pPr>
      <w:rPr>
        <w:rFonts w:ascii="Arial" w:eastAsia="Calibri" w:hAnsi="Arial" w:cs="Arial"/>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4" w15:restartNumberingAfterBreak="0">
    <w:nsid w:val="7B400703"/>
    <w:multiLevelType w:val="hybridMultilevel"/>
    <w:tmpl w:val="72E2D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3D4121"/>
    <w:multiLevelType w:val="hybridMultilevel"/>
    <w:tmpl w:val="B9600F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B24839"/>
    <w:multiLevelType w:val="hybridMultilevel"/>
    <w:tmpl w:val="C9F09284"/>
    <w:lvl w:ilvl="0" w:tplc="6826D5A2">
      <w:start w:val="1"/>
      <w:numFmt w:val="decimal"/>
      <w:lvlText w:val="%1."/>
      <w:lvlJc w:val="left"/>
      <w:pPr>
        <w:ind w:left="1526" w:hanging="675"/>
      </w:pPr>
      <w:rPr>
        <w:rFonts w:ascii="Arial" w:hAnsi="Arial" w:cs="Arial"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30"/>
  </w:num>
  <w:num w:numId="2">
    <w:abstractNumId w:val="10"/>
  </w:num>
  <w:num w:numId="3">
    <w:abstractNumId w:val="33"/>
  </w:num>
  <w:num w:numId="4">
    <w:abstractNumId w:val="0"/>
  </w:num>
  <w:num w:numId="5">
    <w:abstractNumId w:val="20"/>
  </w:num>
  <w:num w:numId="6">
    <w:abstractNumId w:val="18"/>
  </w:num>
  <w:num w:numId="7">
    <w:abstractNumId w:val="36"/>
  </w:num>
  <w:num w:numId="8">
    <w:abstractNumId w:val="12"/>
  </w:num>
  <w:num w:numId="9">
    <w:abstractNumId w:val="26"/>
  </w:num>
  <w:num w:numId="10">
    <w:abstractNumId w:val="2"/>
  </w:num>
  <w:num w:numId="11">
    <w:abstractNumId w:val="21"/>
  </w:num>
  <w:num w:numId="12">
    <w:abstractNumId w:val="28"/>
  </w:num>
  <w:num w:numId="13">
    <w:abstractNumId w:val="8"/>
  </w:num>
  <w:num w:numId="14">
    <w:abstractNumId w:val="23"/>
  </w:num>
  <w:num w:numId="15">
    <w:abstractNumId w:val="15"/>
  </w:num>
  <w:num w:numId="16">
    <w:abstractNumId w:val="17"/>
  </w:num>
  <w:num w:numId="17">
    <w:abstractNumId w:val="6"/>
  </w:num>
  <w:num w:numId="18">
    <w:abstractNumId w:val="32"/>
  </w:num>
  <w:num w:numId="19">
    <w:abstractNumId w:val="14"/>
  </w:num>
  <w:num w:numId="20">
    <w:abstractNumId w:val="9"/>
  </w:num>
  <w:num w:numId="21">
    <w:abstractNumId w:val="19"/>
  </w:num>
  <w:num w:numId="22">
    <w:abstractNumId w:val="34"/>
  </w:num>
  <w:num w:numId="23">
    <w:abstractNumId w:val="24"/>
  </w:num>
  <w:num w:numId="24">
    <w:abstractNumId w:val="16"/>
  </w:num>
  <w:num w:numId="25">
    <w:abstractNumId w:val="31"/>
  </w:num>
  <w:num w:numId="26">
    <w:abstractNumId w:val="22"/>
  </w:num>
  <w:num w:numId="27">
    <w:abstractNumId w:val="5"/>
  </w:num>
  <w:num w:numId="28">
    <w:abstractNumId w:val="25"/>
  </w:num>
  <w:num w:numId="29">
    <w:abstractNumId w:val="29"/>
  </w:num>
  <w:num w:numId="30">
    <w:abstractNumId w:val="35"/>
  </w:num>
  <w:num w:numId="31">
    <w:abstractNumId w:val="1"/>
  </w:num>
  <w:num w:numId="32">
    <w:abstractNumId w:val="11"/>
  </w:num>
  <w:num w:numId="33">
    <w:abstractNumId w:val="3"/>
  </w:num>
  <w:num w:numId="34">
    <w:abstractNumId w:val="27"/>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num>
  <w:num w:numId="49">
    <w:abstractNumId w:val="7"/>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1786E"/>
    <w:rsid w:val="0002273C"/>
    <w:rsid w:val="000B390C"/>
    <w:rsid w:val="000B47B7"/>
    <w:rsid w:val="000D2784"/>
    <w:rsid w:val="0010111B"/>
    <w:rsid w:val="00137E9F"/>
    <w:rsid w:val="001558BD"/>
    <w:rsid w:val="001B6EC8"/>
    <w:rsid w:val="001C0799"/>
    <w:rsid w:val="001E72CE"/>
    <w:rsid w:val="00203E83"/>
    <w:rsid w:val="002072FA"/>
    <w:rsid w:val="00246E1E"/>
    <w:rsid w:val="00254A9F"/>
    <w:rsid w:val="00255465"/>
    <w:rsid w:val="00262945"/>
    <w:rsid w:val="00271808"/>
    <w:rsid w:val="00284E8A"/>
    <w:rsid w:val="002D0C22"/>
    <w:rsid w:val="002D2F97"/>
    <w:rsid w:val="002F0ADB"/>
    <w:rsid w:val="003D51D0"/>
    <w:rsid w:val="00410ABA"/>
    <w:rsid w:val="00452ADF"/>
    <w:rsid w:val="004731DC"/>
    <w:rsid w:val="00476FDE"/>
    <w:rsid w:val="00532688"/>
    <w:rsid w:val="005623E5"/>
    <w:rsid w:val="00572ADC"/>
    <w:rsid w:val="005863BE"/>
    <w:rsid w:val="005B5C56"/>
    <w:rsid w:val="00632068"/>
    <w:rsid w:val="00634214"/>
    <w:rsid w:val="00637ECA"/>
    <w:rsid w:val="00671ECC"/>
    <w:rsid w:val="006B28FC"/>
    <w:rsid w:val="006C4770"/>
    <w:rsid w:val="007160BE"/>
    <w:rsid w:val="0072566C"/>
    <w:rsid w:val="00725CC6"/>
    <w:rsid w:val="00757C8D"/>
    <w:rsid w:val="007A4B04"/>
    <w:rsid w:val="007B0600"/>
    <w:rsid w:val="007B1836"/>
    <w:rsid w:val="00847D59"/>
    <w:rsid w:val="008509FE"/>
    <w:rsid w:val="008621D5"/>
    <w:rsid w:val="00875476"/>
    <w:rsid w:val="00892D75"/>
    <w:rsid w:val="008A54D8"/>
    <w:rsid w:val="008B75FB"/>
    <w:rsid w:val="008E055A"/>
    <w:rsid w:val="008E0B10"/>
    <w:rsid w:val="0091527E"/>
    <w:rsid w:val="009163B9"/>
    <w:rsid w:val="009232CB"/>
    <w:rsid w:val="009552BD"/>
    <w:rsid w:val="009800BD"/>
    <w:rsid w:val="009C390B"/>
    <w:rsid w:val="009D3856"/>
    <w:rsid w:val="00A409A4"/>
    <w:rsid w:val="00A64F32"/>
    <w:rsid w:val="00B27285"/>
    <w:rsid w:val="00B92813"/>
    <w:rsid w:val="00BC49D7"/>
    <w:rsid w:val="00BE25E1"/>
    <w:rsid w:val="00BF4D1B"/>
    <w:rsid w:val="00C078BF"/>
    <w:rsid w:val="00C12D95"/>
    <w:rsid w:val="00C269E3"/>
    <w:rsid w:val="00C602C3"/>
    <w:rsid w:val="00C96BD8"/>
    <w:rsid w:val="00CD0708"/>
    <w:rsid w:val="00CD7E97"/>
    <w:rsid w:val="00CE6610"/>
    <w:rsid w:val="00CE7012"/>
    <w:rsid w:val="00D103CD"/>
    <w:rsid w:val="00D43A0D"/>
    <w:rsid w:val="00D51562"/>
    <w:rsid w:val="00D532B7"/>
    <w:rsid w:val="00D8590D"/>
    <w:rsid w:val="00D86C44"/>
    <w:rsid w:val="00DE711E"/>
    <w:rsid w:val="00E02A9D"/>
    <w:rsid w:val="00E072B7"/>
    <w:rsid w:val="00E3641B"/>
    <w:rsid w:val="00E54779"/>
    <w:rsid w:val="00E81F09"/>
    <w:rsid w:val="00E842D2"/>
    <w:rsid w:val="00E84B0D"/>
    <w:rsid w:val="00EC2C73"/>
    <w:rsid w:val="00ED2C07"/>
    <w:rsid w:val="00ED6E4C"/>
    <w:rsid w:val="00EE65A5"/>
    <w:rsid w:val="00EF4C23"/>
    <w:rsid w:val="00F04C87"/>
    <w:rsid w:val="00F11062"/>
    <w:rsid w:val="00F60E44"/>
    <w:rsid w:val="00F6679F"/>
    <w:rsid w:val="00FD69F4"/>
    <w:rsid w:val="00FE72E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624C2B9-99EE-4656-9E5A-74E96FC94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Grilleclaire-Accent3">
    <w:name w:val="Light Grid Accent 3"/>
    <w:basedOn w:val="Normal"/>
    <w:uiPriority w:val="34"/>
    <w:qFormat/>
    <w:rsid w:val="00E842D2"/>
    <w:pPr>
      <w:spacing w:after="200" w:line="276" w:lineRule="auto"/>
      <w:ind w:left="720"/>
      <w:contextualSpacing/>
      <w:jc w:val="both"/>
    </w:pPr>
    <w:rPr>
      <w:rFonts w:ascii="Arial" w:hAnsi="Arial"/>
      <w:sz w:val="20"/>
    </w:rPr>
  </w:style>
  <w:style w:type="paragraph" w:styleId="Textedebulles">
    <w:name w:val="Balloon Text"/>
    <w:basedOn w:val="Normal"/>
    <w:link w:val="TextedebullesCar"/>
    <w:uiPriority w:val="99"/>
    <w:semiHidden/>
    <w:unhideWhenUsed/>
    <w:rsid w:val="00FE72E3"/>
    <w:pPr>
      <w:spacing w:after="0" w:line="240" w:lineRule="auto"/>
    </w:pPr>
    <w:rPr>
      <w:rFonts w:ascii="Lucida Grande" w:hAnsi="Lucida Grande"/>
      <w:sz w:val="18"/>
      <w:szCs w:val="18"/>
    </w:rPr>
  </w:style>
  <w:style w:type="character" w:customStyle="1" w:styleId="TextedebullesCar">
    <w:name w:val="Texte de bulles Car"/>
    <w:link w:val="Textedebulles"/>
    <w:uiPriority w:val="99"/>
    <w:semiHidden/>
    <w:rsid w:val="00FE72E3"/>
    <w:rPr>
      <w:rFonts w:ascii="Lucida Grande" w:hAnsi="Lucida Grande"/>
      <w:sz w:val="18"/>
      <w:szCs w:val="18"/>
      <w:lang w:val="fr-LU"/>
    </w:rPr>
  </w:style>
  <w:style w:type="character" w:styleId="Marquedecommentaire">
    <w:name w:val="annotation reference"/>
    <w:uiPriority w:val="99"/>
    <w:semiHidden/>
    <w:unhideWhenUsed/>
    <w:rsid w:val="00FE72E3"/>
    <w:rPr>
      <w:sz w:val="18"/>
      <w:szCs w:val="18"/>
    </w:rPr>
  </w:style>
  <w:style w:type="paragraph" w:styleId="Commentaire">
    <w:name w:val="annotation text"/>
    <w:basedOn w:val="Normal"/>
    <w:link w:val="CommentaireCar"/>
    <w:uiPriority w:val="99"/>
    <w:semiHidden/>
    <w:unhideWhenUsed/>
    <w:rsid w:val="00FE72E3"/>
    <w:rPr>
      <w:sz w:val="24"/>
      <w:szCs w:val="24"/>
    </w:rPr>
  </w:style>
  <w:style w:type="character" w:customStyle="1" w:styleId="CommentaireCar">
    <w:name w:val="Commentaire Car"/>
    <w:link w:val="Commentaire"/>
    <w:uiPriority w:val="99"/>
    <w:semiHidden/>
    <w:rsid w:val="00FE72E3"/>
    <w:rPr>
      <w:sz w:val="24"/>
      <w:szCs w:val="24"/>
      <w:lang w:val="fr-LU"/>
    </w:rPr>
  </w:style>
  <w:style w:type="paragraph" w:styleId="Objetducommentaire">
    <w:name w:val="annotation subject"/>
    <w:basedOn w:val="Commentaire"/>
    <w:next w:val="Commentaire"/>
    <w:link w:val="ObjetducommentaireCar"/>
    <w:uiPriority w:val="99"/>
    <w:semiHidden/>
    <w:unhideWhenUsed/>
    <w:rsid w:val="00FE72E3"/>
    <w:rPr>
      <w:b/>
      <w:bCs/>
      <w:sz w:val="20"/>
      <w:szCs w:val="20"/>
    </w:rPr>
  </w:style>
  <w:style w:type="character" w:customStyle="1" w:styleId="ObjetducommentaireCar">
    <w:name w:val="Objet du commentaire Car"/>
    <w:link w:val="Objetducommentaire"/>
    <w:uiPriority w:val="99"/>
    <w:semiHidden/>
    <w:rsid w:val="00FE72E3"/>
    <w:rPr>
      <w:b/>
      <w:bCs/>
      <w:sz w:val="24"/>
      <w:szCs w:val="24"/>
      <w:lang w:val="fr-LU"/>
    </w:rPr>
  </w:style>
  <w:style w:type="paragraph" w:styleId="En-tte">
    <w:name w:val="header"/>
    <w:basedOn w:val="Normal"/>
    <w:link w:val="En-tteCar"/>
    <w:uiPriority w:val="99"/>
    <w:unhideWhenUsed/>
    <w:rsid w:val="008B75FB"/>
    <w:pPr>
      <w:tabs>
        <w:tab w:val="center" w:pos="4536"/>
        <w:tab w:val="right" w:pos="9072"/>
      </w:tabs>
    </w:pPr>
  </w:style>
  <w:style w:type="character" w:customStyle="1" w:styleId="En-tteCar">
    <w:name w:val="En-tête Car"/>
    <w:link w:val="En-tte"/>
    <w:uiPriority w:val="99"/>
    <w:rsid w:val="008B75FB"/>
    <w:rPr>
      <w:sz w:val="22"/>
      <w:szCs w:val="22"/>
      <w:lang w:eastAsia="en-US"/>
    </w:rPr>
  </w:style>
  <w:style w:type="paragraph" w:styleId="Pieddepage">
    <w:name w:val="footer"/>
    <w:basedOn w:val="Normal"/>
    <w:link w:val="PieddepageCar"/>
    <w:uiPriority w:val="99"/>
    <w:unhideWhenUsed/>
    <w:rsid w:val="008B75FB"/>
    <w:pPr>
      <w:tabs>
        <w:tab w:val="center" w:pos="4536"/>
        <w:tab w:val="right" w:pos="9072"/>
      </w:tabs>
    </w:pPr>
  </w:style>
  <w:style w:type="character" w:customStyle="1" w:styleId="PieddepageCar">
    <w:name w:val="Pied de page Car"/>
    <w:link w:val="Pieddepage"/>
    <w:uiPriority w:val="99"/>
    <w:rsid w:val="008B75FB"/>
    <w:rPr>
      <w:sz w:val="22"/>
      <w:szCs w:val="22"/>
      <w:lang w:eastAsia="en-US"/>
    </w:rPr>
  </w:style>
  <w:style w:type="paragraph" w:styleId="Paragraphedeliste">
    <w:name w:val="List Paragraph"/>
    <w:basedOn w:val="Normal"/>
    <w:qFormat/>
    <w:rsid w:val="00F11062"/>
    <w:pPr>
      <w:spacing w:after="0" w:line="240" w:lineRule="auto"/>
      <w:ind w:left="720"/>
      <w:contextualSpacing/>
    </w:pPr>
    <w:rPr>
      <w:rFonts w:ascii="Times New Roman" w:eastAsia="Times New Roman" w:hAnsi="Times New Roman"/>
      <w:sz w:val="24"/>
      <w:szCs w:val="24"/>
      <w:lang w:val="fr-FR" w:eastAsia="fr-FR"/>
    </w:rPr>
  </w:style>
  <w:style w:type="paragraph" w:styleId="Notedebasdepage">
    <w:name w:val="footnote text"/>
    <w:basedOn w:val="Normal"/>
    <w:link w:val="NotedebasdepageCar"/>
    <w:uiPriority w:val="99"/>
    <w:unhideWhenUsed/>
    <w:rsid w:val="00D51562"/>
    <w:rPr>
      <w:sz w:val="20"/>
      <w:szCs w:val="20"/>
    </w:rPr>
  </w:style>
  <w:style w:type="character" w:customStyle="1" w:styleId="NotedebasdepageCar">
    <w:name w:val="Note de bas de page Car"/>
    <w:link w:val="Notedebasdepage"/>
    <w:uiPriority w:val="99"/>
    <w:rsid w:val="00D51562"/>
    <w:rPr>
      <w:lang w:eastAsia="en-US"/>
    </w:rPr>
  </w:style>
  <w:style w:type="character" w:styleId="Appelnotedebasdep">
    <w:name w:val="footnote reference"/>
    <w:uiPriority w:val="99"/>
    <w:unhideWhenUsed/>
    <w:rsid w:val="00D51562"/>
    <w:rPr>
      <w:vertAlign w:val="superscript"/>
    </w:rPr>
  </w:style>
  <w:style w:type="character" w:customStyle="1" w:styleId="bold">
    <w:name w:val="bold"/>
    <w:rsid w:val="00A409A4"/>
    <w:rPr>
      <w:b/>
      <w:bCs/>
    </w:rPr>
  </w:style>
  <w:style w:type="character" w:customStyle="1" w:styleId="super">
    <w:name w:val="super"/>
    <w:rsid w:val="00A409A4"/>
    <w:rPr>
      <w:sz w:val="17"/>
      <w:szCs w:val="17"/>
      <w:vertAlign w:val="superscript"/>
    </w:rPr>
  </w:style>
  <w:style w:type="character" w:styleId="Lienhypertexte">
    <w:name w:val="Hyperlink"/>
    <w:uiPriority w:val="99"/>
    <w:semiHidden/>
    <w:unhideWhenUsed/>
    <w:rsid w:val="00A409A4"/>
    <w:rPr>
      <w:color w:val="0000FF"/>
      <w:u w:val="single"/>
    </w:rPr>
  </w:style>
  <w:style w:type="character" w:customStyle="1" w:styleId="italic">
    <w:name w:val="italic"/>
    <w:rsid w:val="00A409A4"/>
    <w:rPr>
      <w:i/>
      <w:iCs/>
    </w:rPr>
  </w:style>
  <w:style w:type="paragraph" w:customStyle="1" w:styleId="Normal1">
    <w:name w:val="Normal1"/>
    <w:basedOn w:val="Normal"/>
    <w:rsid w:val="00A409A4"/>
    <w:pPr>
      <w:spacing w:before="120" w:after="0" w:line="240" w:lineRule="auto"/>
      <w:jc w:val="both"/>
    </w:pPr>
    <w:rPr>
      <w:rFonts w:ascii="Times New Roman" w:eastAsia="Times New Roman" w:hAnsi="Times New Roman"/>
      <w:sz w:val="24"/>
      <w:szCs w:val="24"/>
      <w:lang w:val="en-US"/>
    </w:rPr>
  </w:style>
  <w:style w:type="paragraph" w:styleId="Sansinterligne">
    <w:name w:val="No Spacing"/>
    <w:uiPriority w:val="1"/>
    <w:qFormat/>
    <w:rsid w:val="00A409A4"/>
    <w:rPr>
      <w:rFonts w:ascii="Times New Roman" w:eastAsia="Times New Roman" w:hAnsi="Times New Roman"/>
      <w:sz w:val="24"/>
      <w:szCs w:val="24"/>
      <w:lang w:val="fr-FR" w:eastAsia="fr-FR"/>
    </w:rPr>
  </w:style>
  <w:style w:type="table" w:styleId="Grilledutableau">
    <w:name w:val="Table Grid"/>
    <w:basedOn w:val="TableauNormal"/>
    <w:uiPriority w:val="59"/>
    <w:rsid w:val="00A409A4"/>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A409A4"/>
    <w:pPr>
      <w:autoSpaceDE w:val="0"/>
      <w:autoSpaceDN w:val="0"/>
      <w:adjustRightInd w:val="0"/>
      <w:spacing w:after="0" w:line="240" w:lineRule="auto"/>
    </w:pPr>
    <w:rPr>
      <w:rFonts w:ascii="EUAlbertina" w:hAnsi="EUAlbertina"/>
      <w:sz w:val="24"/>
      <w:szCs w:val="24"/>
      <w:lang w:val="en-US"/>
    </w:rPr>
  </w:style>
  <w:style w:type="paragraph" w:customStyle="1" w:styleId="CM3">
    <w:name w:val="CM3"/>
    <w:basedOn w:val="Normal"/>
    <w:next w:val="Normal"/>
    <w:uiPriority w:val="99"/>
    <w:rsid w:val="00A409A4"/>
    <w:pPr>
      <w:autoSpaceDE w:val="0"/>
      <w:autoSpaceDN w:val="0"/>
      <w:adjustRightInd w:val="0"/>
      <w:spacing w:after="0" w:line="240" w:lineRule="auto"/>
    </w:pPr>
    <w:rPr>
      <w:rFonts w:ascii="EUAlbertina" w:hAnsi="EUAlbertina"/>
      <w:sz w:val="24"/>
      <w:szCs w:val="24"/>
      <w:lang w:val="en-US"/>
    </w:rPr>
  </w:style>
  <w:style w:type="paragraph" w:customStyle="1" w:styleId="CM4">
    <w:name w:val="CM4"/>
    <w:basedOn w:val="Normal"/>
    <w:next w:val="Normal"/>
    <w:uiPriority w:val="99"/>
    <w:rsid w:val="00A409A4"/>
    <w:pPr>
      <w:autoSpaceDE w:val="0"/>
      <w:autoSpaceDN w:val="0"/>
      <w:adjustRightInd w:val="0"/>
      <w:spacing w:after="0" w:line="240" w:lineRule="auto"/>
    </w:pPr>
    <w:rPr>
      <w:rFonts w:ascii="EUAlbertina" w:hAnsi="EUAlbertina"/>
      <w:sz w:val="24"/>
      <w:szCs w:val="24"/>
      <w:lang w:val="en-US"/>
    </w:rPr>
  </w:style>
  <w:style w:type="character" w:customStyle="1" w:styleId="A19">
    <w:name w:val="A19"/>
    <w:uiPriority w:val="99"/>
    <w:rsid w:val="00A409A4"/>
    <w:rPr>
      <w:rFonts w:cs="Swis721 Lt BT"/>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DP7103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7103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/sftpecos/Dossiers_parlementaires/7103/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AC950C0-1AD3-4AEE-9DC4-3301C265FE05}"/>
</file>

<file path=customXml/itemProps2.xml><?xml version="1.0" encoding="utf-8"?>
<ds:datastoreItem xmlns:ds="http://schemas.openxmlformats.org/officeDocument/2006/customXml" ds:itemID="{CC1B3B70-559C-4F09-BC07-A716E0C142B7}"/>
</file>

<file path=customXml/itemProps3.xml><?xml version="1.0" encoding="utf-8"?>
<ds:datastoreItem xmlns:ds="http://schemas.openxmlformats.org/officeDocument/2006/customXml" ds:itemID="{8B35E391-9F1F-41ED-9EA5-2BCEBF1029F9}"/>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5797</Characters>
  <Application>Microsoft Office Word</Application>
  <DocSecurity>4</DocSecurity>
  <Lines>48</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cp:lastModifiedBy>SYSTEM</cp:lastModifiedBy>
  <cp:revision>2</cp:revision>
  <cp:lastPrinted>2017-05-23T10:27:00Z</cp:lastPrinted>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