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83" w:rsidRPr="007F7DE4" w:rsidRDefault="00742883" w:rsidP="007F7DE4">
      <w:pPr>
        <w:pStyle w:val="Sansinterligne"/>
        <w:jc w:val="both"/>
        <w:rPr>
          <w:rFonts w:ascii="Arial" w:hAnsi="Arial" w:cs="Arial"/>
        </w:rPr>
      </w:pPr>
      <w:bookmarkStart w:id="0" w:name="_GoBack"/>
      <w:bookmarkEnd w:id="0"/>
      <w:r w:rsidRPr="007F7DE4">
        <w:rPr>
          <w:rFonts w:ascii="Arial" w:hAnsi="Arial" w:cs="Arial"/>
        </w:rPr>
        <w:t>7089 : résumé</w:t>
      </w:r>
    </w:p>
    <w:p w:rsidR="00742883" w:rsidRPr="007F7DE4" w:rsidRDefault="00742883" w:rsidP="007F7DE4">
      <w:pPr>
        <w:pStyle w:val="Sansinterligne"/>
        <w:jc w:val="both"/>
        <w:rPr>
          <w:rFonts w:ascii="Arial" w:hAnsi="Arial" w:cs="Arial"/>
        </w:rPr>
      </w:pPr>
    </w:p>
    <w:p w:rsidR="001E0E54" w:rsidRPr="007F7DE4" w:rsidRDefault="00A07A4D" w:rsidP="007F7DE4">
      <w:pPr>
        <w:pStyle w:val="Sansinterligne"/>
        <w:jc w:val="both"/>
        <w:rPr>
          <w:rFonts w:ascii="Arial" w:eastAsia="Times New Roman" w:hAnsi="Arial" w:cs="Arial"/>
          <w:lang w:val="fr-FR"/>
        </w:rPr>
      </w:pPr>
      <w:r w:rsidRPr="007F7DE4">
        <w:rPr>
          <w:rFonts w:ascii="Arial" w:hAnsi="Arial" w:cs="Arial"/>
        </w:rPr>
        <w:t xml:space="preserve">Le projet de loi a pour objet d’approuver la Convention de Minamata sur le mercure, adoptée à Genève le 19 janvier 2013. </w:t>
      </w:r>
      <w:r w:rsidR="001E0E54" w:rsidRPr="007F7DE4">
        <w:rPr>
          <w:rFonts w:ascii="Arial" w:hAnsi="Arial" w:cs="Arial"/>
        </w:rPr>
        <w:t>L’objectif de la Convention</w:t>
      </w:r>
      <w:r w:rsidRPr="007F7DE4">
        <w:rPr>
          <w:rFonts w:ascii="Arial" w:hAnsi="Arial" w:cs="Arial"/>
        </w:rPr>
        <w:t xml:space="preserve"> est de protéger la santé humaine et l’environnement contre les émis</w:t>
      </w:r>
      <w:r w:rsidRPr="007F7DE4">
        <w:rPr>
          <w:rFonts w:ascii="Arial" w:hAnsi="Arial" w:cs="Arial"/>
        </w:rPr>
        <w:softHyphen/>
        <w:t xml:space="preserve">sions anthropiques de mercure et de composés du mercure. </w:t>
      </w:r>
      <w:r w:rsidR="00742883" w:rsidRPr="007F7DE4">
        <w:rPr>
          <w:rFonts w:ascii="Arial" w:eastAsia="Times New Roman" w:hAnsi="Arial" w:cs="Arial"/>
          <w:lang w:val="fr-FR" w:eastAsia="fr-LU"/>
        </w:rPr>
        <w:t xml:space="preserve">La </w:t>
      </w:r>
      <w:r w:rsidR="001E0E54" w:rsidRPr="007F7DE4">
        <w:rPr>
          <w:rFonts w:ascii="Arial" w:eastAsia="Times New Roman" w:hAnsi="Arial" w:cs="Arial"/>
          <w:lang w:val="fr-FR"/>
        </w:rPr>
        <w:t>C</w:t>
      </w:r>
      <w:r w:rsidR="00742883" w:rsidRPr="007F7DE4">
        <w:rPr>
          <w:rFonts w:ascii="Arial" w:eastAsia="Times New Roman" w:hAnsi="Arial" w:cs="Arial"/>
          <w:lang w:val="fr-FR" w:eastAsia="fr-LU"/>
        </w:rPr>
        <w:t>onvention aborde</w:t>
      </w:r>
      <w:r w:rsidR="001E0E54" w:rsidRPr="007F7DE4">
        <w:rPr>
          <w:rFonts w:ascii="Arial" w:eastAsia="Times New Roman" w:hAnsi="Arial" w:cs="Arial"/>
          <w:lang w:val="fr-FR"/>
        </w:rPr>
        <w:t xml:space="preserve"> ainsi</w:t>
      </w:r>
      <w:r w:rsidR="00742883" w:rsidRPr="007F7DE4">
        <w:rPr>
          <w:rFonts w:ascii="Arial" w:eastAsia="Times New Roman" w:hAnsi="Arial" w:cs="Arial"/>
          <w:lang w:val="fr-FR" w:eastAsia="fr-LU"/>
        </w:rPr>
        <w:t xml:space="preserve"> tous les aspects liés à l'utilisation du mercure et </w:t>
      </w:r>
      <w:r w:rsidR="001E0E54" w:rsidRPr="007F7DE4">
        <w:rPr>
          <w:rFonts w:ascii="Arial" w:eastAsia="Times New Roman" w:hAnsi="Arial" w:cs="Arial"/>
          <w:lang w:val="fr-FR"/>
        </w:rPr>
        <w:t>prévoit notamment des mesures destinées à :</w:t>
      </w:r>
    </w:p>
    <w:p w:rsidR="001E0E54" w:rsidRPr="007F7DE4" w:rsidRDefault="00742883" w:rsidP="007F7DE4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 w:rsidRPr="007F7DE4">
        <w:rPr>
          <w:rFonts w:ascii="Arial" w:eastAsia="Times New Roman" w:hAnsi="Arial" w:cs="Arial"/>
          <w:lang w:val="fr-FR" w:eastAsia="fr-LU"/>
        </w:rPr>
        <w:t>interdire les nouvelles mines de mercure et abandonner progr</w:t>
      </w:r>
      <w:r w:rsidR="001E0E54" w:rsidRPr="007F7DE4">
        <w:rPr>
          <w:rFonts w:ascii="Arial" w:eastAsia="Times New Roman" w:hAnsi="Arial" w:cs="Arial"/>
          <w:lang w:val="fr-FR"/>
        </w:rPr>
        <w:t>essivement les mines existantes ;</w:t>
      </w:r>
    </w:p>
    <w:p w:rsidR="001E0E54" w:rsidRPr="007F7DE4" w:rsidRDefault="00742883" w:rsidP="007F7DE4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 w:rsidRPr="007F7DE4">
        <w:rPr>
          <w:rFonts w:ascii="Arial" w:eastAsia="Times New Roman" w:hAnsi="Arial" w:cs="Arial"/>
          <w:lang w:val="fr-FR" w:eastAsia="fr-LU"/>
        </w:rPr>
        <w:t xml:space="preserve">réduire l'utilisation, les émissions et les rejets de mercure provenant de l’extraction minière artisanale et à petite échelle d’or et des </w:t>
      </w:r>
      <w:r w:rsidR="001E0E54" w:rsidRPr="007F7DE4">
        <w:rPr>
          <w:rFonts w:ascii="Arial" w:eastAsia="Times New Roman" w:hAnsi="Arial" w:cs="Arial"/>
          <w:lang w:val="fr-FR"/>
        </w:rPr>
        <w:t>grandes activités industrielles ;</w:t>
      </w:r>
    </w:p>
    <w:p w:rsidR="001E0E54" w:rsidRPr="007F7DE4" w:rsidRDefault="00742883" w:rsidP="007F7DE4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 w:rsidRPr="007F7DE4">
        <w:rPr>
          <w:rFonts w:ascii="Arial" w:eastAsia="Times New Roman" w:hAnsi="Arial" w:cs="Arial"/>
          <w:lang w:val="fr-FR" w:eastAsia="fr-LU"/>
        </w:rPr>
        <w:t>abandonner progressivement et réduire l'utilisation de mercure dans un certain nombre de produits et de procédés contenant du mercure ajouté, en particulier son utilisati</w:t>
      </w:r>
      <w:r w:rsidR="001E0E54" w:rsidRPr="007F7DE4">
        <w:rPr>
          <w:rFonts w:ascii="Arial" w:eastAsia="Times New Roman" w:hAnsi="Arial" w:cs="Arial"/>
          <w:lang w:val="fr-FR"/>
        </w:rPr>
        <w:t>on dans les amalgames dentaires ;</w:t>
      </w:r>
    </w:p>
    <w:p w:rsidR="001E0E54" w:rsidRPr="007F7DE4" w:rsidRDefault="00742883" w:rsidP="007F7DE4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 w:rsidRPr="007F7DE4">
        <w:rPr>
          <w:rFonts w:ascii="Arial" w:eastAsia="Times New Roman" w:hAnsi="Arial" w:cs="Arial"/>
          <w:lang w:val="fr-FR" w:eastAsia="fr-LU"/>
        </w:rPr>
        <w:t xml:space="preserve">restreindre le commerce et interdire la fabrication, l'importation et l'exportation de mercure et d'une large gamme de produits contenant du mercure ajouté, </w:t>
      </w:r>
      <w:r w:rsidR="001E0E54" w:rsidRPr="007F7DE4">
        <w:rPr>
          <w:rFonts w:ascii="Arial" w:eastAsia="Times New Roman" w:hAnsi="Arial" w:cs="Arial"/>
          <w:lang w:val="fr-FR"/>
        </w:rPr>
        <w:t>comme les piles ou les ampoules ;</w:t>
      </w:r>
    </w:p>
    <w:p w:rsidR="001E0E54" w:rsidRPr="007F7DE4" w:rsidRDefault="00742883" w:rsidP="007F7DE4">
      <w:pPr>
        <w:pStyle w:val="Sansinterligne"/>
        <w:numPr>
          <w:ilvl w:val="0"/>
          <w:numId w:val="5"/>
        </w:numPr>
        <w:jc w:val="both"/>
        <w:rPr>
          <w:rFonts w:ascii="Arial" w:hAnsi="Arial" w:cs="Arial"/>
        </w:rPr>
      </w:pPr>
      <w:r w:rsidRPr="007F7DE4">
        <w:rPr>
          <w:rFonts w:ascii="Arial" w:eastAsia="Times New Roman" w:hAnsi="Arial" w:cs="Arial"/>
          <w:lang w:val="fr-FR" w:eastAsia="fr-LU"/>
        </w:rPr>
        <w:t xml:space="preserve">contrôler et réduire les émissions atmosphériques et </w:t>
      </w:r>
      <w:r w:rsidR="001E0E54" w:rsidRPr="007F7DE4">
        <w:rPr>
          <w:rFonts w:ascii="Arial" w:eastAsia="Times New Roman" w:hAnsi="Arial" w:cs="Arial"/>
          <w:lang w:val="fr-FR"/>
        </w:rPr>
        <w:t>les rejets dans le sol et l'eau ;</w:t>
      </w:r>
    </w:p>
    <w:p w:rsidR="00742883" w:rsidRPr="007F7DE4" w:rsidRDefault="00742883" w:rsidP="007F7DE4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lang w:eastAsia="fr-LU"/>
        </w:rPr>
      </w:pPr>
      <w:r w:rsidRPr="007F7DE4">
        <w:rPr>
          <w:rFonts w:ascii="Arial" w:eastAsia="Times New Roman" w:hAnsi="Arial" w:cs="Arial"/>
          <w:lang w:val="fr-FR" w:eastAsia="fr-LU"/>
        </w:rPr>
        <w:t>garantir un stockage plus sûr et une gestion appropriée des déchets de mercure.</w:t>
      </w:r>
    </w:p>
    <w:p w:rsidR="00742883" w:rsidRPr="007F7DE4" w:rsidRDefault="00742883" w:rsidP="007F7DE4">
      <w:pPr>
        <w:pStyle w:val="Sansinterligne"/>
        <w:jc w:val="both"/>
        <w:rPr>
          <w:rFonts w:ascii="Arial" w:hAnsi="Arial" w:cs="Arial"/>
        </w:rPr>
      </w:pPr>
    </w:p>
    <w:p w:rsidR="002579EF" w:rsidRPr="007F7DE4" w:rsidRDefault="00A07A4D" w:rsidP="007F7DE4">
      <w:pPr>
        <w:pStyle w:val="Sansinterligne"/>
        <w:jc w:val="both"/>
        <w:rPr>
          <w:rFonts w:ascii="Arial" w:eastAsia="Times New Roman" w:hAnsi="Arial" w:cs="Arial"/>
          <w:lang w:val="fr-FR" w:eastAsia="fr-LU"/>
        </w:rPr>
      </w:pPr>
      <w:r w:rsidRPr="007F7DE4">
        <w:rPr>
          <w:rFonts w:ascii="Arial" w:hAnsi="Arial" w:cs="Arial"/>
        </w:rPr>
        <w:t xml:space="preserve">Au niveau européen, </w:t>
      </w:r>
      <w:r w:rsidR="00840B6C" w:rsidRPr="007F7DE4">
        <w:rPr>
          <w:rFonts w:ascii="Arial" w:hAnsi="Arial" w:cs="Arial"/>
        </w:rPr>
        <w:t xml:space="preserve">le Conseil a adopté un </w:t>
      </w:r>
      <w:r w:rsidR="002579EF" w:rsidRPr="007F7DE4">
        <w:rPr>
          <w:rFonts w:ascii="Arial" w:eastAsia="Times New Roman" w:hAnsi="Arial" w:cs="Arial"/>
          <w:lang w:val="fr-FR" w:eastAsia="fr-LU"/>
        </w:rPr>
        <w:t>nouveau règlement sur le mercure, qui assure l'alignement de la législation de l'UE sur les dispositions internationales figurant dans la convention de Minamata, le 25 avril 2017.</w:t>
      </w:r>
      <w:r w:rsidR="0045436A">
        <w:rPr>
          <w:rFonts w:ascii="Arial" w:eastAsia="Times New Roman" w:hAnsi="Arial" w:cs="Arial"/>
          <w:lang w:val="fr-FR" w:eastAsia="fr-LU"/>
        </w:rPr>
        <w:t xml:space="preserve"> </w:t>
      </w:r>
      <w:r w:rsidR="002579EF" w:rsidRPr="007F7DE4">
        <w:rPr>
          <w:rFonts w:ascii="Arial" w:eastAsia="Times New Roman" w:hAnsi="Arial" w:cs="Arial"/>
          <w:lang w:val="fr-FR" w:eastAsia="fr-LU"/>
        </w:rPr>
        <w:t xml:space="preserve">La décision du Conseil relative à la conclusion de la </w:t>
      </w:r>
      <w:r w:rsidR="0045436A">
        <w:rPr>
          <w:rFonts w:ascii="Arial" w:eastAsia="Times New Roman" w:hAnsi="Arial" w:cs="Arial"/>
          <w:lang w:val="fr-FR" w:eastAsia="fr-LU"/>
        </w:rPr>
        <w:t>C</w:t>
      </w:r>
      <w:r w:rsidR="002579EF" w:rsidRPr="007F7DE4">
        <w:rPr>
          <w:rFonts w:ascii="Arial" w:eastAsia="Times New Roman" w:hAnsi="Arial" w:cs="Arial"/>
          <w:lang w:val="fr-FR" w:eastAsia="fr-LU"/>
        </w:rPr>
        <w:t xml:space="preserve">onvention a été approuvée par le Parlement européen le 27 avril 2017. </w:t>
      </w:r>
      <w:r w:rsidR="007F7DE4" w:rsidRPr="007F7DE4">
        <w:rPr>
          <w:rFonts w:ascii="Arial" w:eastAsia="Times New Roman" w:hAnsi="Arial" w:cs="Arial"/>
          <w:lang w:val="fr-FR" w:eastAsia="fr-LU"/>
        </w:rPr>
        <w:t>Cette décision a approuvé</w:t>
      </w:r>
      <w:r w:rsidR="002579EF" w:rsidRPr="007F7DE4">
        <w:rPr>
          <w:rFonts w:ascii="Arial" w:eastAsia="Times New Roman" w:hAnsi="Arial" w:cs="Arial"/>
          <w:lang w:val="fr-FR" w:eastAsia="fr-LU"/>
        </w:rPr>
        <w:t xml:space="preserve"> la </w:t>
      </w:r>
      <w:r w:rsidR="007F7DE4" w:rsidRPr="007F7DE4">
        <w:rPr>
          <w:rFonts w:ascii="Arial" w:eastAsia="Times New Roman" w:hAnsi="Arial" w:cs="Arial"/>
          <w:lang w:val="fr-FR" w:eastAsia="fr-LU"/>
        </w:rPr>
        <w:t>C</w:t>
      </w:r>
      <w:r w:rsidR="002579EF" w:rsidRPr="007F7DE4">
        <w:rPr>
          <w:rFonts w:ascii="Arial" w:eastAsia="Times New Roman" w:hAnsi="Arial" w:cs="Arial"/>
          <w:lang w:val="fr-FR" w:eastAsia="fr-LU"/>
        </w:rPr>
        <w:t xml:space="preserve">onvention au nom de l'UE, ouvrant ainsi la voie à sa ratification définitive. </w:t>
      </w:r>
    </w:p>
    <w:sectPr w:rsidR="002579EF" w:rsidRPr="007F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62D1"/>
    <w:multiLevelType w:val="hybridMultilevel"/>
    <w:tmpl w:val="37785BFE"/>
    <w:lvl w:ilvl="0" w:tplc="C8D652A6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E2BDB"/>
    <w:multiLevelType w:val="multilevel"/>
    <w:tmpl w:val="37B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20A78"/>
    <w:multiLevelType w:val="hybridMultilevel"/>
    <w:tmpl w:val="BFEA0724"/>
    <w:lvl w:ilvl="0" w:tplc="C8D652A6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0803"/>
    <w:multiLevelType w:val="hybridMultilevel"/>
    <w:tmpl w:val="F24E2802"/>
    <w:lvl w:ilvl="0" w:tplc="C8D652A6"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B58D5"/>
    <w:multiLevelType w:val="hybridMultilevel"/>
    <w:tmpl w:val="345E5EA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A4D"/>
    <w:rsid w:val="001B78DF"/>
    <w:rsid w:val="001E0E54"/>
    <w:rsid w:val="002579EF"/>
    <w:rsid w:val="0045436A"/>
    <w:rsid w:val="00742883"/>
    <w:rsid w:val="00770011"/>
    <w:rsid w:val="007E0D67"/>
    <w:rsid w:val="007E2EB3"/>
    <w:rsid w:val="007F7DE4"/>
    <w:rsid w:val="00840B6C"/>
    <w:rsid w:val="008B3220"/>
    <w:rsid w:val="00A07A4D"/>
    <w:rsid w:val="00D43A91"/>
    <w:rsid w:val="00E13E2B"/>
    <w:rsid w:val="00F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CF68C1-472D-4B04-9B6E-11C04A4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0">
    <w:name w:val="Pa10"/>
    <w:basedOn w:val="Normal"/>
    <w:next w:val="Normal"/>
    <w:uiPriority w:val="99"/>
    <w:rsid w:val="00A07A4D"/>
    <w:pPr>
      <w:autoSpaceDE w:val="0"/>
      <w:autoSpaceDN w:val="0"/>
      <w:adjustRightInd w:val="0"/>
      <w:spacing w:after="0" w:line="22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11">
    <w:name w:val="Pa11"/>
    <w:basedOn w:val="Normal"/>
    <w:next w:val="Normal"/>
    <w:uiPriority w:val="99"/>
    <w:rsid w:val="00A07A4D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17">
    <w:name w:val="Pa17"/>
    <w:basedOn w:val="Normal"/>
    <w:next w:val="Normal"/>
    <w:uiPriority w:val="99"/>
    <w:rsid w:val="00A07A4D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5">
    <w:name w:val="Pa5"/>
    <w:basedOn w:val="Normal"/>
    <w:next w:val="Normal"/>
    <w:uiPriority w:val="99"/>
    <w:rsid w:val="00A07A4D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18">
    <w:name w:val="Pa18"/>
    <w:basedOn w:val="Normal"/>
    <w:next w:val="Normal"/>
    <w:uiPriority w:val="99"/>
    <w:rsid w:val="00A07A4D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Pa4">
    <w:name w:val="Pa4"/>
    <w:basedOn w:val="Normal"/>
    <w:next w:val="Normal"/>
    <w:uiPriority w:val="99"/>
    <w:rsid w:val="00A07A4D"/>
    <w:pPr>
      <w:autoSpaceDE w:val="0"/>
      <w:autoSpaceDN w:val="0"/>
      <w:adjustRightInd w:val="0"/>
      <w:spacing w:after="0" w:line="201" w:lineRule="atLeast"/>
    </w:pPr>
    <w:rPr>
      <w:rFonts w:ascii="Swis721 BT" w:hAnsi="Swis721 BT"/>
      <w:sz w:val="24"/>
      <w:szCs w:val="24"/>
      <w:lang w:eastAsia="fr-LU"/>
    </w:rPr>
  </w:style>
  <w:style w:type="paragraph" w:customStyle="1" w:styleId="Default">
    <w:name w:val="Default"/>
    <w:rsid w:val="00A07A4D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character" w:customStyle="1" w:styleId="A1">
    <w:name w:val="A1"/>
    <w:uiPriority w:val="99"/>
    <w:rsid w:val="00A07A4D"/>
    <w:rPr>
      <w:rFonts w:cs="Swis721 BT"/>
      <w:b/>
      <w:bCs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A07A4D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07A4D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A07A4D"/>
    <w:rPr>
      <w:rFonts w:ascii="Times New Roman" w:hAnsi="Times New Roman"/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B78DF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42883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fr-LU"/>
    </w:rPr>
  </w:style>
  <w:style w:type="paragraph" w:styleId="Sansinterligne">
    <w:name w:val="No Spacing"/>
    <w:uiPriority w:val="1"/>
    <w:qFormat/>
    <w:rsid w:val="007F7D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DP7089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7089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/sftpecos/Dossiers_parlementaires/7089/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F669DF14-7F22-4D5C-8E20-B6B74192FD50}"/>
</file>

<file path=customXml/itemProps2.xml><?xml version="1.0" encoding="utf-8"?>
<ds:datastoreItem xmlns:ds="http://schemas.openxmlformats.org/officeDocument/2006/customXml" ds:itemID="{62A19E4C-743B-47D0-B20B-44BEE062C806}"/>
</file>

<file path=customXml/itemProps3.xml><?xml version="1.0" encoding="utf-8"?>
<ds:datastoreItem xmlns:ds="http://schemas.openxmlformats.org/officeDocument/2006/customXml" ds:itemID="{609C97E9-35B7-46FE-BA4B-8C8CE1AAE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2017-06-27T11:04:00Z</cp:lastPrinted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