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78" w:rsidRPr="00730F68" w:rsidRDefault="00B0734A" w:rsidP="00730F68">
      <w:pPr>
        <w:autoSpaceDE w:val="0"/>
        <w:autoSpaceDN w:val="0"/>
        <w:adjustRightInd w:val="0"/>
        <w:spacing w:after="0" w:line="240" w:lineRule="auto"/>
        <w:jc w:val="both"/>
        <w:rPr>
          <w:rFonts w:ascii="Arial" w:hAnsi="Arial" w:cs="Arial"/>
          <w:u w:val="single"/>
        </w:rPr>
      </w:pPr>
      <w:bookmarkStart w:id="0" w:name="_GoBack"/>
      <w:bookmarkEnd w:id="0"/>
      <w:r w:rsidRPr="00730F68">
        <w:rPr>
          <w:rFonts w:ascii="Arial" w:hAnsi="Arial" w:cs="Arial"/>
          <w:u w:val="single"/>
        </w:rPr>
        <w:t>7088 : résumé</w:t>
      </w:r>
    </w:p>
    <w:p w:rsidR="00F40778" w:rsidRPr="00730F68" w:rsidRDefault="00F40778" w:rsidP="00730F68">
      <w:pPr>
        <w:autoSpaceDE w:val="0"/>
        <w:autoSpaceDN w:val="0"/>
        <w:adjustRightInd w:val="0"/>
        <w:spacing w:after="0" w:line="240" w:lineRule="auto"/>
        <w:jc w:val="both"/>
        <w:rPr>
          <w:rFonts w:ascii="Arial" w:hAnsi="Arial" w:cs="Arial"/>
        </w:rPr>
      </w:pPr>
    </w:p>
    <w:p w:rsidR="00460612" w:rsidRPr="00730F68" w:rsidRDefault="00460612" w:rsidP="00730F68">
      <w:pPr>
        <w:pStyle w:val="Default"/>
        <w:jc w:val="both"/>
        <w:rPr>
          <w:rFonts w:ascii="Arial" w:hAnsi="Arial" w:cs="Arial"/>
          <w:sz w:val="22"/>
          <w:szCs w:val="22"/>
        </w:rPr>
      </w:pPr>
    </w:p>
    <w:p w:rsidR="00460612" w:rsidRPr="00730F68" w:rsidRDefault="00460612" w:rsidP="00730F68">
      <w:pPr>
        <w:pStyle w:val="Default"/>
        <w:jc w:val="both"/>
        <w:rPr>
          <w:rFonts w:ascii="Arial" w:hAnsi="Arial" w:cs="Arial"/>
          <w:sz w:val="22"/>
          <w:szCs w:val="22"/>
        </w:rPr>
      </w:pPr>
      <w:r w:rsidRPr="00730F68">
        <w:rPr>
          <w:rFonts w:ascii="Arial" w:hAnsi="Arial" w:cs="Arial"/>
          <w:sz w:val="22"/>
          <w:szCs w:val="22"/>
        </w:rPr>
        <w:t xml:space="preserve">Le projet de loi a pour objet de </w:t>
      </w:r>
      <w:r w:rsidRPr="00730F68">
        <w:rPr>
          <w:rFonts w:ascii="Arial" w:hAnsi="Arial" w:cs="Arial"/>
          <w:bCs/>
          <w:sz w:val="22"/>
          <w:szCs w:val="22"/>
        </w:rPr>
        <w:t xml:space="preserve">modifier la loi modifiée du 21 juin 1976 relative à la lutte contre la pollution de l’atmosphère </w:t>
      </w:r>
      <w:r w:rsidRPr="00730F68">
        <w:rPr>
          <w:rFonts w:ascii="Arial" w:hAnsi="Arial" w:cs="Arial"/>
          <w:sz w:val="22"/>
          <w:szCs w:val="22"/>
        </w:rPr>
        <w:t>en y intégrant l’article 7</w:t>
      </w:r>
      <w:r w:rsidRPr="00730F68">
        <w:rPr>
          <w:rFonts w:ascii="Arial" w:hAnsi="Arial" w:cs="Arial"/>
          <w:i/>
          <w:iCs/>
          <w:sz w:val="22"/>
          <w:szCs w:val="22"/>
        </w:rPr>
        <w:t>bis</w:t>
      </w:r>
      <w:r w:rsidRPr="00730F68">
        <w:rPr>
          <w:rFonts w:ascii="Arial" w:hAnsi="Arial" w:cs="Arial"/>
          <w:sz w:val="22"/>
          <w:szCs w:val="22"/>
        </w:rPr>
        <w:t xml:space="preserve">, paragraphe 2, de la directive 98/70/CE concernant la qualité de l’essence et des carburants diesel, qui vise à réduire les émissions de gaz à effet de serre produites sur l’ensemble du cycle de vie des carburants d’au moins 6% au 31 décembre 2020. </w:t>
      </w:r>
    </w:p>
    <w:p w:rsidR="00460612" w:rsidRPr="00730F68" w:rsidRDefault="00460612" w:rsidP="00730F68">
      <w:pPr>
        <w:pStyle w:val="Pa12"/>
        <w:spacing w:after="40"/>
        <w:jc w:val="both"/>
        <w:rPr>
          <w:rFonts w:ascii="Arial" w:hAnsi="Arial" w:cs="Arial"/>
          <w:color w:val="000000"/>
          <w:sz w:val="22"/>
          <w:szCs w:val="22"/>
        </w:rPr>
      </w:pPr>
    </w:p>
    <w:p w:rsidR="00460612" w:rsidRPr="00730F68" w:rsidRDefault="00460612" w:rsidP="00730F68">
      <w:pPr>
        <w:pStyle w:val="Pa12"/>
        <w:spacing w:after="40"/>
        <w:jc w:val="both"/>
        <w:rPr>
          <w:rFonts w:ascii="Arial" w:hAnsi="Arial" w:cs="Arial"/>
          <w:color w:val="000000"/>
          <w:sz w:val="22"/>
          <w:szCs w:val="22"/>
        </w:rPr>
      </w:pPr>
      <w:r w:rsidRPr="00730F68">
        <w:rPr>
          <w:rFonts w:ascii="Arial" w:hAnsi="Arial" w:cs="Arial"/>
          <w:color w:val="000000"/>
          <w:sz w:val="22"/>
          <w:szCs w:val="22"/>
        </w:rPr>
        <w:t>La directive 98/70/CE est transposée en droit national par le règlement grand-ducal modifié du 16 mars 2012 concernant la qualité de l’essence et des carburants diesel et l’utilisation durable des biocarburants et modifiant le règlement grand-ducal du 21 février 2000 concernant la teneur en soufre de certains combustibles liquides. Spécifiquement, son article 7</w:t>
      </w:r>
      <w:r w:rsidRPr="00730F68">
        <w:rPr>
          <w:rFonts w:ascii="Arial" w:hAnsi="Arial" w:cs="Arial"/>
          <w:i/>
          <w:iCs/>
          <w:color w:val="000000"/>
          <w:sz w:val="22"/>
          <w:szCs w:val="22"/>
        </w:rPr>
        <w:t>bis</w:t>
      </w:r>
      <w:r w:rsidRPr="00730F68">
        <w:rPr>
          <w:rFonts w:ascii="Arial" w:hAnsi="Arial" w:cs="Arial"/>
          <w:color w:val="000000"/>
          <w:sz w:val="22"/>
          <w:szCs w:val="22"/>
        </w:rPr>
        <w:t xml:space="preserve">, paragraphe 2, est transposé par l’article 9 dudit règlement. </w:t>
      </w:r>
    </w:p>
    <w:p w:rsidR="00460612" w:rsidRPr="00730F68" w:rsidRDefault="00460612" w:rsidP="00730F68">
      <w:pPr>
        <w:pStyle w:val="Pa12"/>
        <w:spacing w:after="40"/>
        <w:jc w:val="both"/>
        <w:rPr>
          <w:rFonts w:ascii="Arial" w:hAnsi="Arial" w:cs="Arial"/>
          <w:color w:val="000000"/>
          <w:sz w:val="22"/>
          <w:szCs w:val="22"/>
        </w:rPr>
      </w:pPr>
    </w:p>
    <w:p w:rsidR="00730F68" w:rsidRPr="00730F68" w:rsidRDefault="00460612" w:rsidP="00730F68">
      <w:pPr>
        <w:pStyle w:val="Pa12"/>
        <w:spacing w:after="40"/>
        <w:jc w:val="both"/>
        <w:rPr>
          <w:rFonts w:ascii="Arial" w:hAnsi="Arial" w:cs="Arial"/>
          <w:color w:val="000000"/>
          <w:sz w:val="22"/>
          <w:szCs w:val="22"/>
        </w:rPr>
      </w:pPr>
      <w:r w:rsidRPr="00730F68">
        <w:rPr>
          <w:rFonts w:ascii="Arial" w:hAnsi="Arial" w:cs="Arial"/>
          <w:color w:val="000000"/>
          <w:sz w:val="22"/>
          <w:szCs w:val="22"/>
        </w:rPr>
        <w:t>Le projet de loi sous rubrique prévoit</w:t>
      </w:r>
      <w:r w:rsidR="00730F68" w:rsidRPr="00730F68">
        <w:rPr>
          <w:rFonts w:ascii="Arial" w:hAnsi="Arial" w:cs="Arial"/>
          <w:color w:val="000000"/>
          <w:sz w:val="22"/>
          <w:szCs w:val="22"/>
        </w:rPr>
        <w:t xml:space="preserve"> donc</w:t>
      </w:r>
      <w:r w:rsidR="00730F68">
        <w:rPr>
          <w:rFonts w:ascii="Arial" w:hAnsi="Arial" w:cs="Arial"/>
          <w:color w:val="000000"/>
          <w:sz w:val="22"/>
          <w:szCs w:val="22"/>
        </w:rPr>
        <w:t xml:space="preserve"> de</w:t>
      </w:r>
      <w:r w:rsidR="00730F68" w:rsidRPr="00730F68">
        <w:rPr>
          <w:rFonts w:ascii="Arial" w:hAnsi="Arial" w:cs="Arial"/>
          <w:color w:val="000000"/>
          <w:sz w:val="22"/>
          <w:szCs w:val="22"/>
        </w:rPr>
        <w:t> :</w:t>
      </w:r>
    </w:p>
    <w:p w:rsidR="00730F68" w:rsidRPr="00730F68" w:rsidRDefault="00460612" w:rsidP="00730F68">
      <w:pPr>
        <w:pStyle w:val="Paragraphedeliste"/>
        <w:numPr>
          <w:ilvl w:val="0"/>
          <w:numId w:val="1"/>
        </w:numPr>
        <w:autoSpaceDE w:val="0"/>
        <w:autoSpaceDN w:val="0"/>
        <w:adjustRightInd w:val="0"/>
        <w:spacing w:after="0" w:line="240" w:lineRule="auto"/>
        <w:jc w:val="both"/>
        <w:rPr>
          <w:rFonts w:ascii="Arial" w:hAnsi="Arial" w:cs="Arial"/>
        </w:rPr>
      </w:pPr>
      <w:r w:rsidRPr="00730F68">
        <w:rPr>
          <w:rFonts w:ascii="Arial" w:hAnsi="Arial" w:cs="Arial"/>
          <w:color w:val="000000"/>
        </w:rPr>
        <w:t>transf</w:t>
      </w:r>
      <w:r w:rsidR="00730F68">
        <w:rPr>
          <w:rFonts w:ascii="Arial" w:hAnsi="Arial" w:cs="Arial"/>
          <w:color w:val="000000"/>
        </w:rPr>
        <w:t>érer</w:t>
      </w:r>
      <w:r w:rsidRPr="00730F68">
        <w:rPr>
          <w:rFonts w:ascii="Arial" w:hAnsi="Arial" w:cs="Arial"/>
          <w:color w:val="000000"/>
        </w:rPr>
        <w:t xml:space="preserve"> cet article vers la loi </w:t>
      </w:r>
      <w:r w:rsidR="00730F68">
        <w:rPr>
          <w:rFonts w:ascii="Arial" w:hAnsi="Arial" w:cs="Arial"/>
          <w:color w:val="000000"/>
        </w:rPr>
        <w:t>précit</w:t>
      </w:r>
      <w:r w:rsidRPr="00730F68">
        <w:rPr>
          <w:rFonts w:ascii="Arial" w:hAnsi="Arial" w:cs="Arial"/>
          <w:color w:val="000000"/>
        </w:rPr>
        <w:t>ée du 21 juin 1976. Ce transfert permet d’inclure des sanctions pour non-respect de l’article sous la forme d’une amende, ainsi que la possibilité d’intro</w:t>
      </w:r>
      <w:r w:rsidRPr="00730F68">
        <w:rPr>
          <w:rFonts w:ascii="Arial" w:hAnsi="Arial" w:cs="Arial"/>
          <w:color w:val="000000"/>
        </w:rPr>
        <w:softHyphen/>
        <w:t>duire un recours administratif contre la décision d’infliger une amende</w:t>
      </w:r>
      <w:r w:rsidR="00637F4E">
        <w:rPr>
          <w:rFonts w:ascii="Arial" w:hAnsi="Arial" w:cs="Arial"/>
          <w:color w:val="000000"/>
        </w:rPr>
        <w:t> ;</w:t>
      </w:r>
    </w:p>
    <w:p w:rsidR="00730F68" w:rsidRPr="00730F68" w:rsidRDefault="00637F4E" w:rsidP="00730F68">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color w:val="000000"/>
        </w:rPr>
        <w:t>d’adapter</w:t>
      </w:r>
      <w:r w:rsidR="00460612" w:rsidRPr="00730F68">
        <w:rPr>
          <w:rFonts w:ascii="Arial" w:hAnsi="Arial" w:cs="Arial"/>
          <w:color w:val="000000"/>
        </w:rPr>
        <w:t xml:space="preserve"> les dispositions en matière de recherche et de constatation des infractions, de pouvoirs de contrôle, et de la constitution de partie civile des associations écologiques agréées, pour les aligner avec la législation environnementale récente. </w:t>
      </w:r>
    </w:p>
    <w:p w:rsidR="008B3220" w:rsidRPr="00730F68" w:rsidRDefault="008B3220" w:rsidP="00730F68">
      <w:pPr>
        <w:jc w:val="both"/>
        <w:rPr>
          <w:rFonts w:ascii="Arial" w:hAnsi="Arial" w:cs="Arial"/>
        </w:rPr>
      </w:pPr>
    </w:p>
    <w:p w:rsidR="00730F68" w:rsidRPr="00730F68" w:rsidRDefault="00730F68">
      <w:pPr>
        <w:jc w:val="both"/>
        <w:rPr>
          <w:rFonts w:ascii="Arial" w:hAnsi="Arial" w:cs="Arial"/>
        </w:rPr>
      </w:pPr>
    </w:p>
    <w:sectPr w:rsidR="00730F68" w:rsidRPr="00730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01515"/>
    <w:multiLevelType w:val="hybridMultilevel"/>
    <w:tmpl w:val="04A22E8C"/>
    <w:lvl w:ilvl="0" w:tplc="4D120FBC">
      <w:start w:val="7088"/>
      <w:numFmt w:val="bullet"/>
      <w:lvlText w:val="-"/>
      <w:lvlJc w:val="left"/>
      <w:pPr>
        <w:ind w:left="72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86A550E"/>
    <w:multiLevelType w:val="hybridMultilevel"/>
    <w:tmpl w:val="6D2A42D6"/>
    <w:lvl w:ilvl="0" w:tplc="DEFABE5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778"/>
    <w:rsid w:val="001535A1"/>
    <w:rsid w:val="00460612"/>
    <w:rsid w:val="00637F4E"/>
    <w:rsid w:val="00730F68"/>
    <w:rsid w:val="008B3220"/>
    <w:rsid w:val="00B0734A"/>
    <w:rsid w:val="00D559B9"/>
    <w:rsid w:val="00F407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9CF8B0D-C5C3-4D80-87AF-A71B6F44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778"/>
    <w:pPr>
      <w:spacing w:after="200" w:line="276" w:lineRule="auto"/>
      <w:ind w:left="720"/>
      <w:contextualSpacing/>
    </w:pPr>
    <w:rPr>
      <w:lang w:val="fr-FR"/>
    </w:rPr>
  </w:style>
  <w:style w:type="paragraph" w:styleId="Textedebulles">
    <w:name w:val="Balloon Text"/>
    <w:basedOn w:val="Normal"/>
    <w:link w:val="TextedebullesCar"/>
    <w:uiPriority w:val="99"/>
    <w:semiHidden/>
    <w:unhideWhenUsed/>
    <w:rsid w:val="0046061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60612"/>
    <w:rPr>
      <w:rFonts w:ascii="Segoe UI" w:hAnsi="Segoe UI" w:cs="Segoe UI"/>
      <w:sz w:val="18"/>
      <w:szCs w:val="18"/>
      <w:lang w:eastAsia="en-US"/>
    </w:rPr>
  </w:style>
  <w:style w:type="paragraph" w:customStyle="1" w:styleId="Default">
    <w:name w:val="Default"/>
    <w:rsid w:val="00460612"/>
    <w:pPr>
      <w:autoSpaceDE w:val="0"/>
      <w:autoSpaceDN w:val="0"/>
      <w:adjustRightInd w:val="0"/>
    </w:pPr>
    <w:rPr>
      <w:rFonts w:ascii="Times New Roman" w:hAnsi="Times New Roman"/>
      <w:color w:val="000000"/>
      <w:sz w:val="24"/>
      <w:szCs w:val="24"/>
    </w:rPr>
  </w:style>
  <w:style w:type="paragraph" w:customStyle="1" w:styleId="Pa12">
    <w:name w:val="Pa12"/>
    <w:basedOn w:val="Default"/>
    <w:next w:val="Default"/>
    <w:uiPriority w:val="99"/>
    <w:rsid w:val="00460612"/>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DC8CF0-1319-495A-892B-B5CBAC428BC1}"/>
</file>

<file path=customXml/itemProps2.xml><?xml version="1.0" encoding="utf-8"?>
<ds:datastoreItem xmlns:ds="http://schemas.openxmlformats.org/officeDocument/2006/customXml" ds:itemID="{971A4E3B-7A87-45E2-A0C4-27646159D68C}"/>
</file>

<file path=customXml/itemProps3.xml><?xml version="1.0" encoding="utf-8"?>
<ds:datastoreItem xmlns:ds="http://schemas.openxmlformats.org/officeDocument/2006/customXml" ds:itemID="{81C15593-E325-4CDC-96D5-F6A1E9EA7163}"/>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1212</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2017-02-13T09:42:00Z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