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F" w:rsidRPr="009E3AFD" w:rsidRDefault="00A9762F" w:rsidP="00A9762F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E3AF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rojet de loi </w:t>
      </w:r>
      <w:r w:rsidRPr="009E3AFD">
        <w:rPr>
          <w:rFonts w:ascii="Arial" w:hAnsi="Arial" w:cs="Arial"/>
          <w:b/>
        </w:rPr>
        <w:t>concernant le budget des recettes et des dépenses de l’Etat pour l’exercice 2017 et modifiant :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1)</w:t>
      </w:r>
      <w:r w:rsidRPr="009E3AFD">
        <w:rPr>
          <w:rFonts w:ascii="Arial" w:hAnsi="Arial" w:cs="Arial"/>
          <w:b/>
        </w:rPr>
        <w:tab/>
        <w:t xml:space="preserve">la loi modifiée du 4 décembre 1967 concernant l’impôt sur le revenu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2)</w:t>
      </w:r>
      <w:r w:rsidRPr="009E3AFD">
        <w:rPr>
          <w:rFonts w:ascii="Arial" w:hAnsi="Arial" w:cs="Arial"/>
          <w:b/>
        </w:rPr>
        <w:tab/>
        <w:t xml:space="preserve">la loi modifiée du 1er décembre 1936 sur l’impôt foncier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3)</w:t>
      </w:r>
      <w:r w:rsidRPr="009E3AFD">
        <w:rPr>
          <w:rFonts w:ascii="Arial" w:hAnsi="Arial" w:cs="Arial"/>
          <w:b/>
        </w:rPr>
        <w:tab/>
        <w:t xml:space="preserve">la loi modifiée du 27 novembre 1933 concernant le recouvrement des contributions directes, des droits d’accise sur l’eau-de-vie et des cotisations d’assurance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4)</w:t>
      </w:r>
      <w:r w:rsidRPr="009E3AFD">
        <w:rPr>
          <w:rFonts w:ascii="Arial" w:hAnsi="Arial" w:cs="Arial"/>
          <w:b/>
        </w:rPr>
        <w:tab/>
        <w:t xml:space="preserve">la loi modifiée du 12 février 1979 concernant la taxe sur la valeur ajoutée 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5)</w:t>
      </w:r>
      <w:r w:rsidRPr="009E3AFD">
        <w:rPr>
          <w:rFonts w:ascii="Arial" w:hAnsi="Arial" w:cs="Arial"/>
          <w:b/>
        </w:rPr>
        <w:tab/>
        <w:t xml:space="preserve">la loi modifiée du 17 décembre 2010 fixant les droits d'accise et les taxes assimilées sur les produits énergétiques, l'électricité, les produits de tabacs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6)</w:t>
      </w:r>
      <w:r w:rsidRPr="009E3AFD">
        <w:rPr>
          <w:rFonts w:ascii="Arial" w:hAnsi="Arial" w:cs="Arial"/>
          <w:b/>
        </w:rPr>
        <w:tab/>
        <w:t xml:space="preserve">la loi modifiée du 21 décembre 2001 concernant le budget des recettes et des dépenses de l’Etat pour l’exercice 2002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7)</w:t>
      </w:r>
      <w:r w:rsidRPr="009E3AFD">
        <w:rPr>
          <w:rFonts w:ascii="Arial" w:hAnsi="Arial" w:cs="Arial"/>
          <w:b/>
        </w:rPr>
        <w:tab/>
        <w:t xml:space="preserve">le Code de la sécurité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8)</w:t>
      </w:r>
      <w:r w:rsidRPr="009E3AFD">
        <w:rPr>
          <w:rFonts w:ascii="Arial" w:hAnsi="Arial" w:cs="Arial"/>
          <w:b/>
        </w:rPr>
        <w:tab/>
        <w:t xml:space="preserve">la loi modifiée du 25 février 1979 concernant l’aide au logement </w:t>
      </w:r>
    </w:p>
    <w:p w:rsidR="00A9762F" w:rsidRPr="009E3AFD" w:rsidRDefault="00A7618B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35D6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="00A9762F" w:rsidRPr="009E3AFD">
        <w:rPr>
          <w:rFonts w:ascii="Arial" w:hAnsi="Arial" w:cs="Arial"/>
          <w:b/>
        </w:rPr>
        <w:t xml:space="preserve">la loi modifiée du 18 février 2010 relative à un régime d’aides à la protection de l’environnement et à l’utilisation rationnelle des ressources naturelles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0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 xml:space="preserve">la loi modifiée du 5 juin 2009 relative à la promotion de la recherche, du développement et de l’innovation </w:t>
      </w:r>
    </w:p>
    <w:p w:rsidR="00A9762F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1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>la loi du 12 juillet 2014 relative à la coordination et à la gouvernance des finances publiques</w:t>
      </w:r>
    </w:p>
    <w:p w:rsidR="00A9762F" w:rsidRPr="00846FA9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846FA9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2</w:t>
      </w:r>
      <w:r w:rsidRPr="00846FA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846FA9">
        <w:rPr>
          <w:rFonts w:ascii="Arial" w:hAnsi="Arial" w:cs="Arial"/>
          <w:b/>
        </w:rPr>
        <w:t xml:space="preserve">la </w:t>
      </w:r>
      <w:r w:rsidRPr="00846FA9">
        <w:rPr>
          <w:rFonts w:ascii="Arial" w:hAnsi="Arial" w:cs="Arial"/>
          <w:b/>
          <w:bCs/>
          <w:iCs/>
          <w:lang w:eastAsia="fr-LU"/>
        </w:rPr>
        <w:t>loi modifiée du 13 juin 2003 concernant les relations entre l’Etat et l’enseignement privé</w:t>
      </w:r>
    </w:p>
    <w:p w:rsidR="000905E0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Le budget de l'Etat pour l'exercice 2017 est arrêté</w:t>
      </w:r>
      <w:r>
        <w:rPr>
          <w:rFonts w:ascii="Arial" w:hAnsi="Arial" w:cs="Arial"/>
        </w:rPr>
        <w:t> :</w:t>
      </w:r>
      <w:r w:rsidRPr="0062635F">
        <w:rPr>
          <w:rFonts w:ascii="Arial" w:hAnsi="Arial" w:cs="Arial"/>
        </w:rPr>
        <w:t xml:space="preserve"> 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recettes à la somme de ...............................................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  <w:t>13.243.899.413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courantes ...........................</w:t>
      </w:r>
      <w:r>
        <w:rPr>
          <w:rFonts w:ascii="Arial" w:hAnsi="Arial" w:cs="Arial"/>
        </w:rPr>
        <w:t>.....................</w:t>
      </w:r>
      <w:r w:rsidR="0083699F">
        <w:rPr>
          <w:rFonts w:ascii="Arial" w:hAnsi="Arial" w:cs="Arial"/>
        </w:rPr>
        <w:t>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13.153.654.513</w:t>
      </w:r>
    </w:p>
    <w:p w:rsidR="00A9762F" w:rsidRPr="0062635F" w:rsidRDefault="00A9762F" w:rsidP="0083699F">
      <w:pPr>
        <w:spacing w:after="0" w:line="240" w:lineRule="auto"/>
        <w:ind w:right="284"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en capital .........................</w:t>
      </w:r>
      <w:r>
        <w:rPr>
          <w:rFonts w:ascii="Arial" w:hAnsi="Arial" w:cs="Arial"/>
        </w:rPr>
        <w:t>.................</w:t>
      </w:r>
      <w:r w:rsidRPr="0062635F">
        <w:rPr>
          <w:rFonts w:ascii="Arial" w:hAnsi="Arial" w:cs="Arial"/>
        </w:rPr>
        <w:t>......</w:t>
      </w:r>
      <w:r w:rsidR="0083699F">
        <w:rPr>
          <w:rFonts w:ascii="Arial" w:hAnsi="Arial" w:cs="Arial"/>
        </w:rPr>
        <w:t xml:space="preserve">.. 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  <w:t xml:space="preserve">                   </w:t>
      </w:r>
      <w:r w:rsidRPr="0062635F">
        <w:rPr>
          <w:rFonts w:ascii="Arial" w:hAnsi="Arial" w:cs="Arial"/>
        </w:rPr>
        <w:t>90.244.900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Pr="0062635F">
        <w:rPr>
          <w:rFonts w:ascii="Arial" w:hAnsi="Arial" w:cs="Arial"/>
        </w:rPr>
        <w:t>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13.243.899.413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dépenses à la somme de ...........................</w:t>
      </w:r>
      <w:r>
        <w:rPr>
          <w:rFonts w:ascii="Arial" w:hAnsi="Arial" w:cs="Arial"/>
        </w:rPr>
        <w:t>...................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courantes  ..............................</w:t>
      </w:r>
      <w:r w:rsidR="0083699F">
        <w:rPr>
          <w:rFonts w:ascii="Arial" w:hAnsi="Arial" w:cs="Arial"/>
        </w:rPr>
        <w:t>................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12.</w:t>
      </w:r>
      <w:r>
        <w:rPr>
          <w:rFonts w:ascii="Arial" w:hAnsi="Arial" w:cs="Arial"/>
        </w:rPr>
        <w:t>701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039</w:t>
      </w:r>
      <w:r w:rsidRPr="0062635F">
        <w:rPr>
          <w:rFonts w:ascii="Arial" w:hAnsi="Arial" w:cs="Arial"/>
        </w:rPr>
        <w:t>.724</w:t>
      </w:r>
    </w:p>
    <w:p w:rsidR="00A9762F" w:rsidRPr="0062635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en capital  ...............................</w:t>
      </w:r>
      <w:r w:rsidR="0083699F">
        <w:rPr>
          <w:rFonts w:ascii="Arial" w:hAnsi="Arial" w:cs="Arial"/>
        </w:rPr>
        <w:t>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635F">
        <w:rPr>
          <w:rFonts w:ascii="Arial" w:hAnsi="Arial" w:cs="Arial"/>
        </w:rPr>
        <w:t>1.393.831.794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eu</w:t>
      </w:r>
      <w:r w:rsidRPr="0062635F">
        <w:rPr>
          <w:rFonts w:ascii="Arial" w:hAnsi="Arial" w:cs="Arial"/>
        </w:rPr>
        <w:t>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A9762F" w:rsidRDefault="00A9762F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316A90" w:rsidRDefault="00316A90" w:rsidP="00165DCD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C75">
        <w:rPr>
          <w:rFonts w:ascii="Arial" w:hAnsi="Arial" w:cs="Arial"/>
          <w:lang w:eastAsia="fr-LU"/>
        </w:rPr>
        <w:t>L’article 3, 2° du présent projet de lo</w:t>
      </w:r>
      <w:r>
        <w:rPr>
          <w:rFonts w:ascii="Arial" w:hAnsi="Arial" w:cs="Arial"/>
          <w:lang w:eastAsia="fr-LU"/>
        </w:rPr>
        <w:t xml:space="preserve">i </w:t>
      </w:r>
      <w:r w:rsidRPr="00C11C75">
        <w:rPr>
          <w:rFonts w:ascii="Arial" w:hAnsi="Arial" w:cs="Arial"/>
          <w:lang w:eastAsia="fr-LU"/>
        </w:rPr>
        <w:t xml:space="preserve">propose d’insérer dans la </w:t>
      </w:r>
      <w:r w:rsidRPr="00541A21">
        <w:rPr>
          <w:rFonts w:ascii="Arial" w:hAnsi="Arial" w:cs="Arial"/>
        </w:rPr>
        <w:t>loi modifiée du 4 décembre 1967 concernant l’impôt sur le revenu</w:t>
      </w:r>
      <w:r w:rsidRPr="009E3A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C11C75">
        <w:rPr>
          <w:rFonts w:ascii="Arial" w:hAnsi="Arial" w:cs="Arial"/>
          <w:lang w:eastAsia="fr-LU"/>
        </w:rPr>
        <w:t>L.I.R.</w:t>
      </w:r>
      <w:r>
        <w:rPr>
          <w:rFonts w:ascii="Arial" w:hAnsi="Arial" w:cs="Arial"/>
          <w:lang w:eastAsia="fr-LU"/>
        </w:rPr>
        <w:t>)</w:t>
      </w:r>
      <w:r w:rsidRPr="00C11C75">
        <w:rPr>
          <w:rFonts w:ascii="Arial" w:hAnsi="Arial" w:cs="Arial"/>
          <w:lang w:eastAsia="fr-LU"/>
        </w:rPr>
        <w:t xml:space="preserve"> un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nouvel article 56bis qui renferme les principes de base à respecter dans le cadre d’une analyse de prix de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transfert concernant la technique à mettre en</w:t>
      </w:r>
      <w:r>
        <w:rPr>
          <w:rFonts w:ascii="Arial" w:hAnsi="Arial" w:cs="Arial"/>
          <w:lang w:eastAsia="fr-LU"/>
        </w:rPr>
        <w:t xml:space="preserve"> œuvre </w:t>
      </w:r>
      <w:r w:rsidRPr="00C11C75">
        <w:rPr>
          <w:rFonts w:ascii="Arial" w:hAnsi="Arial" w:cs="Arial"/>
          <w:lang w:eastAsia="fr-LU"/>
        </w:rPr>
        <w:t>et la méthodologie à retenir en vue de l’application du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principe de pleine concurrence. Le nouvel article 56bis L.I.R. est axé sur l’analyse de comparabilité, analyse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primordiale à faire en vue de la détermination du prix de pleine concur</w:t>
      </w:r>
      <w:r>
        <w:rPr>
          <w:rFonts w:ascii="Arial" w:hAnsi="Arial" w:cs="Arial"/>
          <w:lang w:eastAsia="fr-LU"/>
        </w:rPr>
        <w:t xml:space="preserve">rence, tel qu’élaborée dans les </w:t>
      </w:r>
      <w:r w:rsidRPr="00C11C75">
        <w:rPr>
          <w:rFonts w:ascii="Arial" w:hAnsi="Arial" w:cs="Arial"/>
          <w:lang w:eastAsia="fr-LU"/>
        </w:rPr>
        <w:t xml:space="preserve">chapitres 1 à 3 des </w:t>
      </w:r>
      <w:r>
        <w:rPr>
          <w:rFonts w:ascii="Arial" w:hAnsi="Arial" w:cs="Arial"/>
          <w:lang w:eastAsia="fr-LU"/>
        </w:rPr>
        <w:t>« </w:t>
      </w:r>
      <w:r w:rsidRPr="00C11C75">
        <w:rPr>
          <w:rFonts w:ascii="Arial" w:hAnsi="Arial" w:cs="Arial"/>
          <w:lang w:eastAsia="fr-LU"/>
        </w:rPr>
        <w:t>Principes de l’OCDE applicables en matière de prix de transfert à l’intention des entreprises multinationales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et des administrations fiscales ». Ce nouvel article tient compte des nouveaux éléments à prendre en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considération dans le cadre d’une analyse de comparabilité et transpose ainsi dans le droit national des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conclusions tirées dans le cadre des actions BEPS 8</w:t>
      </w:r>
      <w:r>
        <w:rPr>
          <w:rFonts w:ascii="Arial" w:hAnsi="Arial" w:cs="Arial"/>
          <w:lang w:eastAsia="fr-LU"/>
        </w:rPr>
        <w:t xml:space="preserve"> - </w:t>
      </w:r>
      <w:r w:rsidRPr="00C11C75">
        <w:rPr>
          <w:rFonts w:ascii="Arial" w:hAnsi="Arial" w:cs="Arial"/>
          <w:lang w:eastAsia="fr-LU"/>
        </w:rPr>
        <w:t>10 ayant trait à la révision du chapitre 1, section D «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Guide pour l’application du principe de pleine concurrence » qui se trouve au centre de toute analyse de prix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de transfert.</w:t>
      </w: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EB63A6" w:rsidRPr="00A35D69" w:rsidRDefault="00541A21" w:rsidP="004901A8">
      <w:pPr>
        <w:spacing w:after="0" w:line="240" w:lineRule="auto"/>
        <w:jc w:val="both"/>
        <w:rPr>
          <w:rFonts w:ascii="Arial" w:eastAsia="Arial Unicode MS" w:hAnsi="Arial" w:cs="Arial"/>
          <w:lang w:val="fr-FR"/>
        </w:rPr>
      </w:pPr>
      <w:r>
        <w:rPr>
          <w:rFonts w:ascii="Arial" w:eastAsia="Arial Unicode MS" w:hAnsi="Arial" w:cs="Arial"/>
          <w:lang w:val="fr-FR"/>
        </w:rPr>
        <w:t>P</w:t>
      </w:r>
      <w:r w:rsidR="00EB63A6" w:rsidRPr="00A35D69">
        <w:rPr>
          <w:rFonts w:ascii="Arial" w:eastAsia="Arial Unicode MS" w:hAnsi="Arial" w:cs="Arial"/>
          <w:lang w:val="fr-FR"/>
        </w:rPr>
        <w:t>our les détails, il est prié de se référer au rapport de la Commission des Finances et du Budget.</w:t>
      </w:r>
    </w:p>
    <w:p w:rsidR="004901A8" w:rsidRPr="00541A21" w:rsidRDefault="004901A8" w:rsidP="000905E0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:rsidR="000905E0" w:rsidRPr="00A35D69" w:rsidRDefault="000905E0" w:rsidP="000905E0">
      <w:pPr>
        <w:spacing w:after="0" w:line="240" w:lineRule="auto"/>
        <w:jc w:val="center"/>
        <w:rPr>
          <w:rFonts w:ascii="Arial" w:hAnsi="Arial" w:cs="Arial"/>
          <w:b/>
        </w:rPr>
      </w:pPr>
      <w:r w:rsidRPr="00A35D69">
        <w:rPr>
          <w:rFonts w:ascii="Arial" w:hAnsi="Arial" w:cs="Arial"/>
          <w:b/>
        </w:rPr>
        <w:t>*</w:t>
      </w:r>
    </w:p>
    <w:p w:rsidR="000905E0" w:rsidRPr="00A9762F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0905E0" w:rsidRPr="005F3120" w:rsidRDefault="000905E0" w:rsidP="000905E0">
      <w:pPr>
        <w:spacing w:after="0" w:line="240" w:lineRule="auto"/>
        <w:jc w:val="both"/>
        <w:rPr>
          <w:rFonts w:ascii="Arial" w:hAnsi="Arial" w:cs="Arial"/>
          <w:b/>
        </w:rPr>
      </w:pPr>
      <w:r w:rsidRPr="005F3120">
        <w:rPr>
          <w:rFonts w:ascii="Arial" w:hAnsi="Arial" w:cs="Arial"/>
          <w:b/>
          <w:bCs/>
        </w:rPr>
        <w:t xml:space="preserve">Projet de loi </w:t>
      </w:r>
      <w:r w:rsidR="00541A21" w:rsidRPr="005F3120">
        <w:rPr>
          <w:rFonts w:ascii="Arial" w:hAnsi="Arial" w:cs="Arial"/>
          <w:b/>
          <w:bCs/>
        </w:rPr>
        <w:t>705</w:t>
      </w:r>
      <w:r w:rsidR="00316A90" w:rsidRPr="005F3120">
        <w:rPr>
          <w:rFonts w:ascii="Arial" w:hAnsi="Arial" w:cs="Arial"/>
          <w:b/>
        </w:rPr>
        <w:t>1</w:t>
      </w:r>
      <w:r w:rsidR="00D01378" w:rsidRPr="005F3120">
        <w:rPr>
          <w:rFonts w:ascii="Arial" w:hAnsi="Arial" w:cs="Arial"/>
          <w:b/>
        </w:rPr>
        <w:t xml:space="preserve"> </w:t>
      </w:r>
      <w:r w:rsidRPr="005F3120">
        <w:rPr>
          <w:rFonts w:ascii="Arial" w:hAnsi="Arial" w:cs="Arial"/>
          <w:b/>
          <w:bCs/>
        </w:rPr>
        <w:t>relati</w:t>
      </w:r>
      <w:r w:rsidR="00383095" w:rsidRPr="005F3120">
        <w:rPr>
          <w:rFonts w:ascii="Arial" w:hAnsi="Arial" w:cs="Arial"/>
          <w:b/>
          <w:bCs/>
        </w:rPr>
        <w:t>f</w:t>
      </w:r>
      <w:r w:rsidRPr="005F3120">
        <w:rPr>
          <w:rFonts w:ascii="Arial" w:hAnsi="Arial" w:cs="Arial"/>
          <w:b/>
          <w:bCs/>
        </w:rPr>
        <w:t xml:space="preserve"> à la programmation financière pluriannuelle pour la période 201</w:t>
      </w:r>
      <w:r w:rsidR="00541A21" w:rsidRPr="005F3120">
        <w:rPr>
          <w:rFonts w:ascii="Arial" w:hAnsi="Arial" w:cs="Arial"/>
          <w:b/>
          <w:bCs/>
        </w:rPr>
        <w:t>6</w:t>
      </w:r>
      <w:r w:rsidRPr="005F3120">
        <w:rPr>
          <w:rFonts w:ascii="Arial" w:hAnsi="Arial" w:cs="Arial"/>
          <w:b/>
          <w:bCs/>
        </w:rPr>
        <w:t xml:space="preserve"> - 20</w:t>
      </w:r>
      <w:r w:rsidR="00541A21" w:rsidRPr="005F3120">
        <w:rPr>
          <w:rFonts w:ascii="Arial" w:hAnsi="Arial" w:cs="Arial"/>
          <w:b/>
          <w:bCs/>
        </w:rPr>
        <w:t>20</w:t>
      </w:r>
    </w:p>
    <w:p w:rsidR="00316A90" w:rsidRPr="00A9762F" w:rsidRDefault="00316A90" w:rsidP="00316A90">
      <w:pPr>
        <w:spacing w:after="0"/>
        <w:jc w:val="both"/>
        <w:rPr>
          <w:rFonts w:ascii="Arial" w:hAnsi="Arial" w:cs="Arial"/>
          <w:b/>
          <w:color w:val="C00000"/>
        </w:rPr>
      </w:pPr>
    </w:p>
    <w:p w:rsidR="00316A90" w:rsidRPr="005F3120" w:rsidRDefault="00316A90" w:rsidP="0031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 xml:space="preserve">Depuis le vote de la loi du 12 juillet 2014 relative à la coordination et à la gouvernance des finances publiques, les lois de programmation pluriannuelle font partie intégrante de </w:t>
      </w:r>
      <w:r w:rsidR="00165DCD" w:rsidRPr="005F3120">
        <w:rPr>
          <w:rFonts w:ascii="Arial" w:hAnsi="Arial" w:cs="Arial"/>
          <w:lang w:eastAsia="fr-LU"/>
        </w:rPr>
        <w:t>l’</w:t>
      </w:r>
      <w:r w:rsidRPr="005F3120">
        <w:rPr>
          <w:rFonts w:ascii="Arial" w:hAnsi="Arial" w:cs="Arial"/>
          <w:lang w:eastAsia="fr-LU"/>
        </w:rPr>
        <w:t>encadrement législatif dans le domaine des finances publiques.</w:t>
      </w:r>
      <w:r w:rsidR="00D01378" w:rsidRPr="005F3120">
        <w:rPr>
          <w:rFonts w:ascii="Arial" w:hAnsi="Arial" w:cs="Arial"/>
          <w:lang w:eastAsia="fr-LU"/>
        </w:rPr>
        <w:t xml:space="preserve"> Elles</w:t>
      </w:r>
      <w:r w:rsidRPr="005F3120">
        <w:rPr>
          <w:rFonts w:ascii="Arial" w:hAnsi="Arial" w:cs="Arial"/>
          <w:lang w:eastAsia="fr-LU"/>
        </w:rPr>
        <w:t xml:space="preserve"> ont pour finalité de définir les orientations financières pluriannuelles des 3 secteurs de l’Administration publique : Etat, administrations locales et administrations de sécurité sociale. Ces orientations pluriannuelles s’insèrent dans l’objectif d’équilibre des comptes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316A90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 xml:space="preserve">a loi de programmation pluriannuelle a pour mission principale d’arrêter l’objectif budgétaire à moyen terme de l’Administration publique (OMT) ainsi que la trajectoire d’ajustement qui permet sa réalisation. </w:t>
      </w:r>
      <w:r w:rsidRPr="005F3120">
        <w:rPr>
          <w:rFonts w:ascii="Arial" w:hAnsi="Arial" w:cs="Arial"/>
          <w:lang w:eastAsia="fr-LU"/>
        </w:rPr>
        <w:t xml:space="preserve">Elle </w:t>
      </w:r>
      <w:r w:rsidR="00316A90" w:rsidRPr="005F3120">
        <w:rPr>
          <w:rFonts w:ascii="Arial" w:hAnsi="Arial" w:cs="Arial"/>
          <w:lang w:eastAsia="fr-LU"/>
        </w:rPr>
        <w:t>a également pour but de présenter l’évolution de la dette publique ainsi que la décomposition des soldes annuels par sous-secteur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65DCD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>a programmation financière couvre une période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mobile de cinq ans comprenant l’année en cours et les quatre années suivantes, donc la période 201</w:t>
      </w:r>
      <w:r w:rsidR="005F3120" w:rsidRPr="005F3120">
        <w:rPr>
          <w:rFonts w:ascii="Arial" w:hAnsi="Arial" w:cs="Arial"/>
          <w:lang w:eastAsia="fr-LU"/>
        </w:rPr>
        <w:t>6</w:t>
      </w:r>
      <w:r w:rsidR="00316A90" w:rsidRPr="005F3120">
        <w:rPr>
          <w:rFonts w:ascii="Arial" w:hAnsi="Arial" w:cs="Arial"/>
          <w:lang w:eastAsia="fr-LU"/>
        </w:rPr>
        <w:t xml:space="preserve"> à 20</w:t>
      </w:r>
      <w:r w:rsidR="005F3120" w:rsidRPr="005F3120">
        <w:rPr>
          <w:rFonts w:ascii="Arial" w:hAnsi="Arial" w:cs="Arial"/>
          <w:lang w:eastAsia="fr-LU"/>
        </w:rPr>
        <w:t>20</w:t>
      </w:r>
      <w:r w:rsidR="00316A90" w:rsidRPr="005F3120">
        <w:rPr>
          <w:rFonts w:ascii="Arial" w:hAnsi="Arial" w:cs="Arial"/>
          <w:lang w:eastAsia="fr-LU"/>
        </w:rPr>
        <w:t xml:space="preserve"> pour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le présent projet de loi.</w:t>
      </w:r>
      <w:r w:rsidRPr="005F3120">
        <w:rPr>
          <w:rFonts w:ascii="Arial" w:hAnsi="Arial" w:cs="Arial"/>
          <w:lang w:eastAsia="fr-LU"/>
        </w:rPr>
        <w:t xml:space="preserve"> </w:t>
      </w:r>
    </w:p>
    <w:p w:rsidR="00165DCD" w:rsidRDefault="00165DCD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biais d’un amendement</w:t>
      </w:r>
      <w:r w:rsidR="0031049C">
        <w:rPr>
          <w:rFonts w:ascii="Arial" w:hAnsi="Arial" w:cs="Arial"/>
        </w:rPr>
        <w:t xml:space="preserve"> parlementaire</w:t>
      </w:r>
      <w:r>
        <w:rPr>
          <w:rFonts w:ascii="Arial" w:hAnsi="Arial" w:cs="Arial"/>
        </w:rPr>
        <w:t>, il a été précisé à l’article 1</w:t>
      </w:r>
      <w:r w:rsidRPr="00BE0DA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du projet de loi que p</w:t>
      </w:r>
      <w:r w:rsidRPr="006F6103">
        <w:rPr>
          <w:rFonts w:ascii="Arial" w:hAnsi="Arial" w:cs="Arial"/>
        </w:rPr>
        <w:t>our la période 201</w:t>
      </w:r>
      <w:r>
        <w:rPr>
          <w:rFonts w:ascii="Arial" w:hAnsi="Arial" w:cs="Arial"/>
        </w:rPr>
        <w:t>6</w:t>
      </w:r>
      <w:r w:rsidRPr="006F6103">
        <w:rPr>
          <w:rFonts w:ascii="Arial" w:hAnsi="Arial" w:cs="Arial"/>
        </w:rPr>
        <w:t xml:space="preserve"> à 2020, l’objectif budgétaire à moyen terme est fixé à</w:t>
      </w:r>
      <w:r>
        <w:rPr>
          <w:rFonts w:ascii="Arial" w:hAnsi="Arial" w:cs="Arial"/>
        </w:rPr>
        <w:t xml:space="preserve"> </w:t>
      </w:r>
      <w:r w:rsidRPr="004C59E0">
        <w:rPr>
          <w:rFonts w:ascii="Arial" w:hAnsi="Arial" w:cs="Arial"/>
        </w:rPr>
        <w:t>+0,5 pour cent du produit i</w:t>
      </w:r>
      <w:r>
        <w:rPr>
          <w:rFonts w:ascii="Arial" w:hAnsi="Arial" w:cs="Arial"/>
        </w:rPr>
        <w:t>ntérieur brut pour l’année 2016</w:t>
      </w:r>
      <w:r w:rsidRPr="004C59E0">
        <w:rPr>
          <w:rFonts w:ascii="Arial" w:hAnsi="Arial" w:cs="Arial"/>
        </w:rPr>
        <w:t xml:space="preserve"> et à</w:t>
      </w:r>
      <w:r>
        <w:rPr>
          <w:rFonts w:ascii="Arial" w:hAnsi="Arial" w:cs="Arial"/>
        </w:rPr>
        <w:t xml:space="preserve"> </w:t>
      </w:r>
      <w:r w:rsidRPr="006F6103">
        <w:rPr>
          <w:rFonts w:ascii="Arial" w:hAnsi="Arial" w:cs="Arial"/>
        </w:rPr>
        <w:t xml:space="preserve">-0,5 pour cent du produit intérieur </w:t>
      </w:r>
      <w:r w:rsidRPr="00686380">
        <w:rPr>
          <w:rFonts w:ascii="Arial" w:hAnsi="Arial" w:cs="Arial"/>
        </w:rPr>
        <w:t xml:space="preserve">brut </w:t>
      </w:r>
      <w:r w:rsidRPr="004C59E0">
        <w:rPr>
          <w:rFonts w:ascii="Arial" w:hAnsi="Arial" w:cs="Arial"/>
        </w:rPr>
        <w:t>pour les années 2017 à 2020</w:t>
      </w:r>
      <w:r w:rsidRPr="006F6103">
        <w:rPr>
          <w:rFonts w:ascii="Arial" w:hAnsi="Arial" w:cs="Arial"/>
        </w:rPr>
        <w:t>.</w:t>
      </w:r>
    </w:p>
    <w:p w:rsidR="00BE0DA8" w:rsidRPr="00A9762F" w:rsidRDefault="00BE0DA8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Pr="00E87F19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 w:rsidRPr="00E87F19">
        <w:rPr>
          <w:rFonts w:ascii="Arial" w:hAnsi="Arial" w:cs="Arial"/>
        </w:rPr>
        <w:t xml:space="preserve">Les soldes effectifs et structurels de la trajectoire d’ajustement vers l’objectif budgétaire à moyen terme évoluent comme suit au titre de la période 2016 à 2020 : </w:t>
      </w:r>
    </w:p>
    <w:p w:rsidR="00BE0DA8" w:rsidRPr="00BE0DA8" w:rsidRDefault="00BE0DA8" w:rsidP="00BE0DA8">
      <w:pPr>
        <w:spacing w:after="0" w:line="240" w:lineRule="auto"/>
        <w:ind w:left="-567" w:right="595" w:firstLine="283"/>
        <w:jc w:val="right"/>
        <w:rPr>
          <w:rFonts w:ascii="Arial" w:hAnsi="Arial" w:cs="Arial"/>
          <w:strike/>
          <w:sz w:val="20"/>
          <w:szCs w:val="20"/>
        </w:rPr>
      </w:pPr>
    </w:p>
    <w:p w:rsidR="00BE0DA8" w:rsidRPr="00BE0DA8" w:rsidRDefault="00BE0DA8" w:rsidP="00BE0DA8">
      <w:pPr>
        <w:widowControl w:val="0"/>
        <w:tabs>
          <w:tab w:val="left" w:pos="1134"/>
          <w:tab w:val="left" w:pos="10080"/>
          <w:tab w:val="left" w:pos="10800"/>
        </w:tabs>
        <w:spacing w:after="0" w:line="240" w:lineRule="auto"/>
        <w:ind w:right="850"/>
        <w:jc w:val="right"/>
        <w:outlineLvl w:val="0"/>
        <w:rPr>
          <w:rFonts w:ascii="Arial" w:hAnsi="Arial" w:cs="Arial"/>
          <w:snapToGrid w:val="0"/>
          <w:sz w:val="20"/>
          <w:szCs w:val="20"/>
        </w:rPr>
      </w:pPr>
      <w:r w:rsidRPr="00BE0DA8">
        <w:rPr>
          <w:rFonts w:ascii="Arial" w:hAnsi="Arial" w:cs="Arial"/>
          <w:snapToGrid w:val="0"/>
          <w:sz w:val="20"/>
          <w:szCs w:val="20"/>
        </w:rPr>
        <w:t xml:space="preserve"> (en % du PIB)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993"/>
        <w:gridCol w:w="992"/>
        <w:gridCol w:w="993"/>
      </w:tblGrid>
      <w:tr w:rsidR="00BE0DA8" w:rsidRPr="00BE0DA8" w:rsidTr="00774705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E0DA8">
              <w:rPr>
                <w:rFonts w:ascii="Arial" w:hAnsi="Arial" w:cs="Arial"/>
                <w:sz w:val="20"/>
                <w:szCs w:val="20"/>
              </w:rPr>
              <w:t>entrale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-0,8%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-1,0%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Administrations </w:t>
            </w:r>
            <w:r>
              <w:rPr>
                <w:rFonts w:ascii="Arial" w:hAnsi="Arial" w:cs="Arial"/>
                <w:sz w:val="20"/>
                <w:szCs w:val="20"/>
              </w:rPr>
              <w:t>locales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Sécurité sociale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Administrations publiques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Solde effectif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Solde </w:t>
            </w:r>
            <w:r>
              <w:rPr>
                <w:rFonts w:ascii="Arial" w:hAnsi="Arial" w:cs="Arial"/>
                <w:sz w:val="20"/>
                <w:szCs w:val="20"/>
              </w:rPr>
              <w:t>structurel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</w:tr>
    </w:tbl>
    <w:p w:rsidR="00165DCD" w:rsidRPr="00EF0BE5" w:rsidRDefault="00165DCD" w:rsidP="00165DCD">
      <w:pPr>
        <w:pStyle w:val="Default"/>
        <w:jc w:val="both"/>
        <w:rPr>
          <w:rFonts w:ascii="Arial" w:hAnsi="Arial" w:cs="Arial"/>
          <w:strike/>
          <w:color w:val="C00000"/>
          <w:sz w:val="22"/>
          <w:szCs w:val="22"/>
        </w:rPr>
      </w:pPr>
    </w:p>
    <w:sectPr w:rsidR="00165DCD" w:rsidRPr="00EF0BE5" w:rsidSect="00725140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05" w:rsidRDefault="00774705" w:rsidP="008A13F3">
      <w:pPr>
        <w:spacing w:after="0" w:line="240" w:lineRule="auto"/>
      </w:pPr>
      <w:r>
        <w:separator/>
      </w:r>
    </w:p>
  </w:endnote>
  <w:end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0" w:rsidRPr="00DE07DF" w:rsidRDefault="00316A90" w:rsidP="007251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9260C" w:rsidRPr="0069260C">
      <w:rPr>
        <w:noProof/>
        <w:lang w:val="fr-FR"/>
      </w:rPr>
      <w:t>1</w:t>
    </w:r>
    <w:r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05" w:rsidRDefault="00774705" w:rsidP="008A13F3">
      <w:pPr>
        <w:spacing w:after="0" w:line="240" w:lineRule="auto"/>
      </w:pPr>
      <w:r>
        <w:separator/>
      </w:r>
    </w:p>
  </w:footnote>
  <w:foot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C5EE0"/>
    <w:multiLevelType w:val="hybridMultilevel"/>
    <w:tmpl w:val="A448AC4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C28FD"/>
    <w:multiLevelType w:val="multilevel"/>
    <w:tmpl w:val="60E80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959BB"/>
    <w:multiLevelType w:val="hybridMultilevel"/>
    <w:tmpl w:val="00787C8E"/>
    <w:lvl w:ilvl="0" w:tplc="8676FC98">
      <w:start w:val="2"/>
      <w:numFmt w:val="bullet"/>
      <w:lvlText w:val="-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513B6"/>
    <w:multiLevelType w:val="hybridMultilevel"/>
    <w:tmpl w:val="DA4C4710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3320"/>
    <w:multiLevelType w:val="hybridMultilevel"/>
    <w:tmpl w:val="FA5A15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B97"/>
    <w:multiLevelType w:val="hybridMultilevel"/>
    <w:tmpl w:val="55A06A88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593C03"/>
    <w:multiLevelType w:val="multilevel"/>
    <w:tmpl w:val="455081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A7C5603"/>
    <w:multiLevelType w:val="hybridMultilevel"/>
    <w:tmpl w:val="05CEF568"/>
    <w:lvl w:ilvl="0" w:tplc="64B00F5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23D2D"/>
    <w:multiLevelType w:val="hybridMultilevel"/>
    <w:tmpl w:val="679A16AA"/>
    <w:lvl w:ilvl="0" w:tplc="140C0011">
      <w:start w:val="1"/>
      <w:numFmt w:val="decimal"/>
      <w:lvlText w:val="%1)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4B38C8"/>
    <w:multiLevelType w:val="hybridMultilevel"/>
    <w:tmpl w:val="C4E65E28"/>
    <w:lvl w:ilvl="0" w:tplc="1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84E6A"/>
    <w:multiLevelType w:val="hybridMultilevel"/>
    <w:tmpl w:val="F8EE6704"/>
    <w:lvl w:ilvl="0" w:tplc="14567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5053AD"/>
    <w:multiLevelType w:val="hybridMultilevel"/>
    <w:tmpl w:val="927E5250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C4933"/>
    <w:multiLevelType w:val="hybridMultilevel"/>
    <w:tmpl w:val="D7D6E60E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E3183"/>
    <w:multiLevelType w:val="hybridMultilevel"/>
    <w:tmpl w:val="D78A8992"/>
    <w:lvl w:ilvl="0" w:tplc="EFFAF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E748C"/>
    <w:multiLevelType w:val="hybridMultilevel"/>
    <w:tmpl w:val="F02C882A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403222"/>
    <w:multiLevelType w:val="hybridMultilevel"/>
    <w:tmpl w:val="F5EE41E2"/>
    <w:lvl w:ilvl="0" w:tplc="0748B49E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A2687B"/>
    <w:multiLevelType w:val="hybridMultilevel"/>
    <w:tmpl w:val="0FEADE20"/>
    <w:lvl w:ilvl="0" w:tplc="EFFAFA70">
      <w:start w:val="4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B141628"/>
    <w:multiLevelType w:val="hybridMultilevel"/>
    <w:tmpl w:val="159C5756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F3A77"/>
    <w:multiLevelType w:val="hybridMultilevel"/>
    <w:tmpl w:val="F13C3280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FB6777"/>
    <w:multiLevelType w:val="hybridMultilevel"/>
    <w:tmpl w:val="3662C0C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4608E"/>
    <w:multiLevelType w:val="hybridMultilevel"/>
    <w:tmpl w:val="2424BEFC"/>
    <w:lvl w:ilvl="0" w:tplc="1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D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06CFE"/>
    <w:multiLevelType w:val="hybridMultilevel"/>
    <w:tmpl w:val="39F03C2E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2085"/>
    <w:multiLevelType w:val="multilevel"/>
    <w:tmpl w:val="F53C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B142CA"/>
    <w:multiLevelType w:val="multilevel"/>
    <w:tmpl w:val="1D3E3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3F11B9"/>
    <w:multiLevelType w:val="hybridMultilevel"/>
    <w:tmpl w:val="7E445780"/>
    <w:lvl w:ilvl="0" w:tplc="9236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A1B26"/>
    <w:multiLevelType w:val="multilevel"/>
    <w:tmpl w:val="72F48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3F43FB"/>
    <w:multiLevelType w:val="hybridMultilevel"/>
    <w:tmpl w:val="63807F02"/>
    <w:lvl w:ilvl="0" w:tplc="F4D41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45529C"/>
    <w:multiLevelType w:val="hybridMultilevel"/>
    <w:tmpl w:val="DB4CAAE6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F72D40"/>
    <w:multiLevelType w:val="hybridMultilevel"/>
    <w:tmpl w:val="32A0A52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72AE9"/>
    <w:multiLevelType w:val="hybridMultilevel"/>
    <w:tmpl w:val="02D899E6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D361E9"/>
    <w:multiLevelType w:val="hybridMultilevel"/>
    <w:tmpl w:val="F30A6CB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0419C"/>
    <w:multiLevelType w:val="hybridMultilevel"/>
    <w:tmpl w:val="0C8CD3F6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807DBC"/>
    <w:multiLevelType w:val="hybridMultilevel"/>
    <w:tmpl w:val="51F20272"/>
    <w:lvl w:ilvl="0" w:tplc="F4D41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AFA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D02CA"/>
    <w:multiLevelType w:val="hybridMultilevel"/>
    <w:tmpl w:val="A33CA0A0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56989"/>
    <w:multiLevelType w:val="hybridMultilevel"/>
    <w:tmpl w:val="F850D118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86FD8"/>
    <w:multiLevelType w:val="hybridMultilevel"/>
    <w:tmpl w:val="E9225C24"/>
    <w:lvl w:ilvl="0" w:tplc="ABC2E22A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C62461"/>
    <w:multiLevelType w:val="hybridMultilevel"/>
    <w:tmpl w:val="D0B2C7E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B23F6"/>
    <w:multiLevelType w:val="hybridMultilevel"/>
    <w:tmpl w:val="78B67336"/>
    <w:lvl w:ilvl="0" w:tplc="528E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E04CE0"/>
    <w:multiLevelType w:val="hybridMultilevel"/>
    <w:tmpl w:val="EFAADEBA"/>
    <w:lvl w:ilvl="0" w:tplc="8D5448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fr-BE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814494"/>
    <w:multiLevelType w:val="hybridMultilevel"/>
    <w:tmpl w:val="D0DE9306"/>
    <w:lvl w:ilvl="0" w:tplc="D04EFD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E6217"/>
    <w:multiLevelType w:val="multilevel"/>
    <w:tmpl w:val="38A20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396C2C"/>
    <w:multiLevelType w:val="multilevel"/>
    <w:tmpl w:val="33EC3D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FBA64E6"/>
    <w:multiLevelType w:val="hybridMultilevel"/>
    <w:tmpl w:val="09A8DFD2"/>
    <w:lvl w:ilvl="0" w:tplc="1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252DB2"/>
    <w:multiLevelType w:val="hybridMultilevel"/>
    <w:tmpl w:val="0A42DC06"/>
    <w:lvl w:ilvl="0" w:tplc="DDA47C8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154B0"/>
    <w:multiLevelType w:val="hybridMultilevel"/>
    <w:tmpl w:val="55307B04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E43D8"/>
    <w:multiLevelType w:val="hybridMultilevel"/>
    <w:tmpl w:val="070A8A6C"/>
    <w:lvl w:ilvl="0" w:tplc="1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4BA3635"/>
    <w:multiLevelType w:val="hybridMultilevel"/>
    <w:tmpl w:val="9F8EA19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37B11"/>
    <w:multiLevelType w:val="hybridMultilevel"/>
    <w:tmpl w:val="F8E629CA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E40632"/>
    <w:multiLevelType w:val="multilevel"/>
    <w:tmpl w:val="CC20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366B3"/>
    <w:multiLevelType w:val="hybridMultilevel"/>
    <w:tmpl w:val="5B0A227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829DD"/>
    <w:multiLevelType w:val="multilevel"/>
    <w:tmpl w:val="6BC01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3E19B7"/>
    <w:multiLevelType w:val="hybridMultilevel"/>
    <w:tmpl w:val="0958B5F0"/>
    <w:lvl w:ilvl="0" w:tplc="2682A4D0">
      <w:start w:val="1"/>
      <w:numFmt w:val="decimal"/>
      <w:pStyle w:val="AvisBudgetTableau"/>
      <w:lvlText w:val="Tableau %1 :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460FC"/>
    <w:multiLevelType w:val="hybridMultilevel"/>
    <w:tmpl w:val="BE345ACC"/>
    <w:lvl w:ilvl="0" w:tplc="E3D29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576AC"/>
    <w:multiLevelType w:val="hybridMultilevel"/>
    <w:tmpl w:val="60D43E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B59CC"/>
    <w:multiLevelType w:val="hybridMultilevel"/>
    <w:tmpl w:val="64929CF8"/>
    <w:lvl w:ilvl="0" w:tplc="140C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C693F41"/>
    <w:multiLevelType w:val="multilevel"/>
    <w:tmpl w:val="CE64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C91458B"/>
    <w:multiLevelType w:val="multilevel"/>
    <w:tmpl w:val="1BE6A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6F100697"/>
    <w:multiLevelType w:val="hybridMultilevel"/>
    <w:tmpl w:val="F16AFF8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862E79"/>
    <w:multiLevelType w:val="hybridMultilevel"/>
    <w:tmpl w:val="25B4B50C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61F18"/>
    <w:multiLevelType w:val="hybridMultilevel"/>
    <w:tmpl w:val="DFF09E32"/>
    <w:lvl w:ilvl="0" w:tplc="EFFAFA70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87E506D"/>
    <w:multiLevelType w:val="hybridMultilevel"/>
    <w:tmpl w:val="7D5829D6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017FC8"/>
    <w:multiLevelType w:val="hybridMultilevel"/>
    <w:tmpl w:val="84B0FDC0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21"/>
  </w:num>
  <w:num w:numId="4">
    <w:abstractNumId w:val="45"/>
  </w:num>
  <w:num w:numId="5">
    <w:abstractNumId w:val="22"/>
  </w:num>
  <w:num w:numId="6">
    <w:abstractNumId w:val="55"/>
  </w:num>
  <w:num w:numId="7">
    <w:abstractNumId w:val="39"/>
  </w:num>
  <w:num w:numId="8">
    <w:abstractNumId w:val="29"/>
  </w:num>
  <w:num w:numId="9">
    <w:abstractNumId w:val="17"/>
  </w:num>
  <w:num w:numId="10">
    <w:abstractNumId w:val="51"/>
  </w:num>
  <w:num w:numId="11">
    <w:abstractNumId w:val="58"/>
  </w:num>
  <w:num w:numId="12">
    <w:abstractNumId w:val="38"/>
  </w:num>
  <w:num w:numId="13">
    <w:abstractNumId w:val="2"/>
  </w:num>
  <w:num w:numId="14">
    <w:abstractNumId w:val="60"/>
  </w:num>
  <w:num w:numId="15">
    <w:abstractNumId w:val="53"/>
  </w:num>
  <w:num w:numId="16">
    <w:abstractNumId w:val="15"/>
  </w:num>
  <w:num w:numId="17">
    <w:abstractNumId w:val="11"/>
  </w:num>
  <w:num w:numId="18">
    <w:abstractNumId w:val="37"/>
  </w:num>
  <w:num w:numId="19">
    <w:abstractNumId w:val="12"/>
  </w:num>
  <w:num w:numId="20">
    <w:abstractNumId w:val="18"/>
  </w:num>
  <w:num w:numId="21">
    <w:abstractNumId w:val="50"/>
  </w:num>
  <w:num w:numId="22">
    <w:abstractNumId w:val="57"/>
  </w:num>
  <w:num w:numId="23">
    <w:abstractNumId w:val="61"/>
  </w:num>
  <w:num w:numId="24">
    <w:abstractNumId w:val="1"/>
  </w:num>
  <w:num w:numId="25">
    <w:abstractNumId w:val="10"/>
  </w:num>
  <w:num w:numId="26">
    <w:abstractNumId w:val="34"/>
  </w:num>
  <w:num w:numId="27">
    <w:abstractNumId w:val="7"/>
  </w:num>
  <w:num w:numId="28">
    <w:abstractNumId w:val="33"/>
  </w:num>
  <w:num w:numId="29">
    <w:abstractNumId w:val="44"/>
  </w:num>
  <w:num w:numId="30">
    <w:abstractNumId w:val="9"/>
  </w:num>
  <w:num w:numId="31">
    <w:abstractNumId w:val="47"/>
  </w:num>
  <w:num w:numId="32">
    <w:abstractNumId w:val="43"/>
  </w:num>
  <w:num w:numId="33">
    <w:abstractNumId w:val="31"/>
  </w:num>
  <w:num w:numId="34">
    <w:abstractNumId w:val="46"/>
  </w:num>
  <w:num w:numId="35">
    <w:abstractNumId w:val="14"/>
  </w:num>
  <w:num w:numId="36">
    <w:abstractNumId w:val="52"/>
  </w:num>
  <w:num w:numId="37">
    <w:abstractNumId w:val="27"/>
  </w:num>
  <w:num w:numId="38">
    <w:abstractNumId w:val="5"/>
  </w:num>
  <w:num w:numId="39">
    <w:abstractNumId w:val="0"/>
  </w:num>
  <w:num w:numId="40">
    <w:abstractNumId w:val="20"/>
  </w:num>
  <w:num w:numId="41">
    <w:abstractNumId w:val="24"/>
  </w:num>
  <w:num w:numId="42">
    <w:abstractNumId w:val="49"/>
  </w:num>
  <w:num w:numId="43">
    <w:abstractNumId w:val="54"/>
  </w:num>
  <w:num w:numId="44">
    <w:abstractNumId w:val="4"/>
  </w:num>
  <w:num w:numId="45">
    <w:abstractNumId w:val="32"/>
  </w:num>
  <w:num w:numId="46">
    <w:abstractNumId w:val="26"/>
  </w:num>
  <w:num w:numId="47">
    <w:abstractNumId w:val="35"/>
  </w:num>
  <w:num w:numId="48">
    <w:abstractNumId w:val="13"/>
  </w:num>
  <w:num w:numId="49">
    <w:abstractNumId w:val="8"/>
  </w:num>
  <w:num w:numId="50">
    <w:abstractNumId w:val="16"/>
  </w:num>
  <w:num w:numId="51">
    <w:abstractNumId w:val="59"/>
  </w:num>
  <w:num w:numId="52">
    <w:abstractNumId w:val="28"/>
  </w:num>
  <w:num w:numId="53">
    <w:abstractNumId w:val="48"/>
  </w:num>
  <w:num w:numId="54">
    <w:abstractNumId w:val="42"/>
  </w:num>
  <w:num w:numId="55">
    <w:abstractNumId w:val="23"/>
  </w:num>
  <w:num w:numId="56">
    <w:abstractNumId w:val="6"/>
  </w:num>
  <w:num w:numId="57">
    <w:abstractNumId w:val="40"/>
  </w:num>
  <w:num w:numId="58">
    <w:abstractNumId w:val="25"/>
  </w:num>
  <w:num w:numId="59">
    <w:abstractNumId w:val="30"/>
  </w:num>
  <w:num w:numId="60">
    <w:abstractNumId w:val="19"/>
  </w:num>
  <w:num w:numId="61">
    <w:abstractNumId w:val="36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FD"/>
    <w:rsid w:val="000158D7"/>
    <w:rsid w:val="00021E8E"/>
    <w:rsid w:val="00027F9D"/>
    <w:rsid w:val="00042650"/>
    <w:rsid w:val="00042FD2"/>
    <w:rsid w:val="00043277"/>
    <w:rsid w:val="000466EA"/>
    <w:rsid w:val="000504CA"/>
    <w:rsid w:val="000505E6"/>
    <w:rsid w:val="00057A94"/>
    <w:rsid w:val="00062DA8"/>
    <w:rsid w:val="00067BD9"/>
    <w:rsid w:val="00073F0C"/>
    <w:rsid w:val="000905E0"/>
    <w:rsid w:val="00090A26"/>
    <w:rsid w:val="00090FEF"/>
    <w:rsid w:val="00092880"/>
    <w:rsid w:val="00096838"/>
    <w:rsid w:val="000A3F4C"/>
    <w:rsid w:val="000B6B03"/>
    <w:rsid w:val="000D51B8"/>
    <w:rsid w:val="000E3F81"/>
    <w:rsid w:val="000E63DE"/>
    <w:rsid w:val="0011129B"/>
    <w:rsid w:val="00115A71"/>
    <w:rsid w:val="00134422"/>
    <w:rsid w:val="001546D2"/>
    <w:rsid w:val="00156578"/>
    <w:rsid w:val="00156C4D"/>
    <w:rsid w:val="00165DCD"/>
    <w:rsid w:val="00185304"/>
    <w:rsid w:val="00185475"/>
    <w:rsid w:val="001936E6"/>
    <w:rsid w:val="001A66EF"/>
    <w:rsid w:val="001C4E40"/>
    <w:rsid w:val="001C7FE2"/>
    <w:rsid w:val="001D5349"/>
    <w:rsid w:val="001E2F03"/>
    <w:rsid w:val="001F15C2"/>
    <w:rsid w:val="001F74E6"/>
    <w:rsid w:val="001F7B0F"/>
    <w:rsid w:val="0020485E"/>
    <w:rsid w:val="00212932"/>
    <w:rsid w:val="00216015"/>
    <w:rsid w:val="0021780B"/>
    <w:rsid w:val="002221D6"/>
    <w:rsid w:val="002304E0"/>
    <w:rsid w:val="00243467"/>
    <w:rsid w:val="00245BDD"/>
    <w:rsid w:val="00261A3D"/>
    <w:rsid w:val="00280A07"/>
    <w:rsid w:val="00282E61"/>
    <w:rsid w:val="00293367"/>
    <w:rsid w:val="00297BF7"/>
    <w:rsid w:val="002A50DC"/>
    <w:rsid w:val="002B5FD9"/>
    <w:rsid w:val="002B68A0"/>
    <w:rsid w:val="002B750E"/>
    <w:rsid w:val="002C23FF"/>
    <w:rsid w:val="002C54F0"/>
    <w:rsid w:val="002D0388"/>
    <w:rsid w:val="002D1C59"/>
    <w:rsid w:val="002D235F"/>
    <w:rsid w:val="002D433C"/>
    <w:rsid w:val="002E0756"/>
    <w:rsid w:val="002E3E7C"/>
    <w:rsid w:val="002F0E61"/>
    <w:rsid w:val="002F7E38"/>
    <w:rsid w:val="0030302E"/>
    <w:rsid w:val="0031049C"/>
    <w:rsid w:val="00311F01"/>
    <w:rsid w:val="00316A90"/>
    <w:rsid w:val="003215EB"/>
    <w:rsid w:val="0032250C"/>
    <w:rsid w:val="00337C2E"/>
    <w:rsid w:val="003500A1"/>
    <w:rsid w:val="003504E0"/>
    <w:rsid w:val="00383095"/>
    <w:rsid w:val="00383AF8"/>
    <w:rsid w:val="00391148"/>
    <w:rsid w:val="003A058B"/>
    <w:rsid w:val="003A0A48"/>
    <w:rsid w:val="003A644F"/>
    <w:rsid w:val="003B3C21"/>
    <w:rsid w:val="003B3C51"/>
    <w:rsid w:val="003C0554"/>
    <w:rsid w:val="003E362F"/>
    <w:rsid w:val="0040733A"/>
    <w:rsid w:val="00413316"/>
    <w:rsid w:val="004135F8"/>
    <w:rsid w:val="00420547"/>
    <w:rsid w:val="004221A1"/>
    <w:rsid w:val="00423CC4"/>
    <w:rsid w:val="00425B54"/>
    <w:rsid w:val="004446A4"/>
    <w:rsid w:val="00452EEF"/>
    <w:rsid w:val="0045501B"/>
    <w:rsid w:val="00456950"/>
    <w:rsid w:val="00465AB7"/>
    <w:rsid w:val="0046755E"/>
    <w:rsid w:val="004760F1"/>
    <w:rsid w:val="00477FE7"/>
    <w:rsid w:val="0048521A"/>
    <w:rsid w:val="004901A8"/>
    <w:rsid w:val="004957B7"/>
    <w:rsid w:val="004A24D0"/>
    <w:rsid w:val="004B1BA6"/>
    <w:rsid w:val="004B3326"/>
    <w:rsid w:val="004B5AC5"/>
    <w:rsid w:val="004D310B"/>
    <w:rsid w:val="004D7125"/>
    <w:rsid w:val="004E2FEF"/>
    <w:rsid w:val="004E393B"/>
    <w:rsid w:val="004F0884"/>
    <w:rsid w:val="004F2A2E"/>
    <w:rsid w:val="004F406C"/>
    <w:rsid w:val="00501267"/>
    <w:rsid w:val="00513B39"/>
    <w:rsid w:val="00517C29"/>
    <w:rsid w:val="005201CF"/>
    <w:rsid w:val="0052548A"/>
    <w:rsid w:val="0053342F"/>
    <w:rsid w:val="0053774F"/>
    <w:rsid w:val="00541A21"/>
    <w:rsid w:val="0055493A"/>
    <w:rsid w:val="00556109"/>
    <w:rsid w:val="00574356"/>
    <w:rsid w:val="00582B82"/>
    <w:rsid w:val="00597478"/>
    <w:rsid w:val="005A01BE"/>
    <w:rsid w:val="005A17D6"/>
    <w:rsid w:val="005A4786"/>
    <w:rsid w:val="005A5E15"/>
    <w:rsid w:val="005A76E0"/>
    <w:rsid w:val="005A7F4F"/>
    <w:rsid w:val="005B48BB"/>
    <w:rsid w:val="005C0888"/>
    <w:rsid w:val="005C0FA7"/>
    <w:rsid w:val="005C254C"/>
    <w:rsid w:val="005C2D6C"/>
    <w:rsid w:val="005C6E0F"/>
    <w:rsid w:val="005E1A15"/>
    <w:rsid w:val="005E5DFD"/>
    <w:rsid w:val="005E6F9C"/>
    <w:rsid w:val="005E7876"/>
    <w:rsid w:val="005F3120"/>
    <w:rsid w:val="006078B2"/>
    <w:rsid w:val="00613BB2"/>
    <w:rsid w:val="0061729A"/>
    <w:rsid w:val="00634C68"/>
    <w:rsid w:val="0064136D"/>
    <w:rsid w:val="00641CF0"/>
    <w:rsid w:val="0065038B"/>
    <w:rsid w:val="00670C81"/>
    <w:rsid w:val="00670FCA"/>
    <w:rsid w:val="00673357"/>
    <w:rsid w:val="0068045F"/>
    <w:rsid w:val="00681CAF"/>
    <w:rsid w:val="0069260C"/>
    <w:rsid w:val="00692877"/>
    <w:rsid w:val="00694B40"/>
    <w:rsid w:val="006A0B84"/>
    <w:rsid w:val="006A14BA"/>
    <w:rsid w:val="006A19E0"/>
    <w:rsid w:val="006A1ED1"/>
    <w:rsid w:val="006B7D69"/>
    <w:rsid w:val="006D5C9A"/>
    <w:rsid w:val="006E3738"/>
    <w:rsid w:val="006E601A"/>
    <w:rsid w:val="006E691B"/>
    <w:rsid w:val="00706D19"/>
    <w:rsid w:val="007115D8"/>
    <w:rsid w:val="00711D80"/>
    <w:rsid w:val="00716C0A"/>
    <w:rsid w:val="007176DD"/>
    <w:rsid w:val="00724CEF"/>
    <w:rsid w:val="00725140"/>
    <w:rsid w:val="007425A9"/>
    <w:rsid w:val="007469E8"/>
    <w:rsid w:val="0076311F"/>
    <w:rsid w:val="00763683"/>
    <w:rsid w:val="00773824"/>
    <w:rsid w:val="00774705"/>
    <w:rsid w:val="00776908"/>
    <w:rsid w:val="00776C77"/>
    <w:rsid w:val="007770BA"/>
    <w:rsid w:val="00781404"/>
    <w:rsid w:val="0078246E"/>
    <w:rsid w:val="00787593"/>
    <w:rsid w:val="00790218"/>
    <w:rsid w:val="007B1AC9"/>
    <w:rsid w:val="007B66CE"/>
    <w:rsid w:val="007C51D2"/>
    <w:rsid w:val="007C63ED"/>
    <w:rsid w:val="007D56D0"/>
    <w:rsid w:val="007E6F95"/>
    <w:rsid w:val="007F45AB"/>
    <w:rsid w:val="008006D8"/>
    <w:rsid w:val="00803EEE"/>
    <w:rsid w:val="008079A8"/>
    <w:rsid w:val="0081467C"/>
    <w:rsid w:val="00826798"/>
    <w:rsid w:val="0083699F"/>
    <w:rsid w:val="0084074E"/>
    <w:rsid w:val="008575AD"/>
    <w:rsid w:val="008606A3"/>
    <w:rsid w:val="008633A1"/>
    <w:rsid w:val="0086449B"/>
    <w:rsid w:val="00866BB4"/>
    <w:rsid w:val="00874989"/>
    <w:rsid w:val="008858B5"/>
    <w:rsid w:val="008970AC"/>
    <w:rsid w:val="008A13F3"/>
    <w:rsid w:val="008A7D3A"/>
    <w:rsid w:val="008B07A1"/>
    <w:rsid w:val="008C1032"/>
    <w:rsid w:val="008C2EDD"/>
    <w:rsid w:val="008F37F1"/>
    <w:rsid w:val="008F4B81"/>
    <w:rsid w:val="008F57E8"/>
    <w:rsid w:val="00900484"/>
    <w:rsid w:val="00902B1A"/>
    <w:rsid w:val="00903B4F"/>
    <w:rsid w:val="009056AF"/>
    <w:rsid w:val="0090574F"/>
    <w:rsid w:val="0090697E"/>
    <w:rsid w:val="00910E08"/>
    <w:rsid w:val="0091326A"/>
    <w:rsid w:val="00913F89"/>
    <w:rsid w:val="0092149F"/>
    <w:rsid w:val="00922991"/>
    <w:rsid w:val="00935D22"/>
    <w:rsid w:val="009437DB"/>
    <w:rsid w:val="00945DDB"/>
    <w:rsid w:val="00947334"/>
    <w:rsid w:val="009A1422"/>
    <w:rsid w:val="009A27F3"/>
    <w:rsid w:val="009B295C"/>
    <w:rsid w:val="009C112A"/>
    <w:rsid w:val="009C6802"/>
    <w:rsid w:val="009D37E2"/>
    <w:rsid w:val="009D3E0D"/>
    <w:rsid w:val="009D5064"/>
    <w:rsid w:val="009D5983"/>
    <w:rsid w:val="009E47AB"/>
    <w:rsid w:val="009E593D"/>
    <w:rsid w:val="00A01C76"/>
    <w:rsid w:val="00A02C4D"/>
    <w:rsid w:val="00A107B2"/>
    <w:rsid w:val="00A16C10"/>
    <w:rsid w:val="00A21BFC"/>
    <w:rsid w:val="00A32229"/>
    <w:rsid w:val="00A34EA7"/>
    <w:rsid w:val="00A35D69"/>
    <w:rsid w:val="00A50ECD"/>
    <w:rsid w:val="00A54665"/>
    <w:rsid w:val="00A56516"/>
    <w:rsid w:val="00A57D86"/>
    <w:rsid w:val="00A640D1"/>
    <w:rsid w:val="00A64241"/>
    <w:rsid w:val="00A64769"/>
    <w:rsid w:val="00A6647C"/>
    <w:rsid w:val="00A7618B"/>
    <w:rsid w:val="00A8537C"/>
    <w:rsid w:val="00A9762F"/>
    <w:rsid w:val="00A97E47"/>
    <w:rsid w:val="00AB00AD"/>
    <w:rsid w:val="00AB2A47"/>
    <w:rsid w:val="00AB6C78"/>
    <w:rsid w:val="00AC14B3"/>
    <w:rsid w:val="00AE1628"/>
    <w:rsid w:val="00B06FF7"/>
    <w:rsid w:val="00B106C4"/>
    <w:rsid w:val="00B31431"/>
    <w:rsid w:val="00B34C63"/>
    <w:rsid w:val="00B35AC9"/>
    <w:rsid w:val="00B37E8D"/>
    <w:rsid w:val="00B461D7"/>
    <w:rsid w:val="00B47BFF"/>
    <w:rsid w:val="00B5387B"/>
    <w:rsid w:val="00B75856"/>
    <w:rsid w:val="00B914A7"/>
    <w:rsid w:val="00B933D4"/>
    <w:rsid w:val="00B962F6"/>
    <w:rsid w:val="00BA6493"/>
    <w:rsid w:val="00BB0C39"/>
    <w:rsid w:val="00BB42F8"/>
    <w:rsid w:val="00BB45A0"/>
    <w:rsid w:val="00BC0CF9"/>
    <w:rsid w:val="00BD01ED"/>
    <w:rsid w:val="00BE0DA8"/>
    <w:rsid w:val="00BE466C"/>
    <w:rsid w:val="00BE54BD"/>
    <w:rsid w:val="00C20725"/>
    <w:rsid w:val="00C504E9"/>
    <w:rsid w:val="00C5636D"/>
    <w:rsid w:val="00C72413"/>
    <w:rsid w:val="00C80CD7"/>
    <w:rsid w:val="00C8157A"/>
    <w:rsid w:val="00C85227"/>
    <w:rsid w:val="00C91D28"/>
    <w:rsid w:val="00C9247C"/>
    <w:rsid w:val="00CA0009"/>
    <w:rsid w:val="00CA27BE"/>
    <w:rsid w:val="00CB2731"/>
    <w:rsid w:val="00CB4B08"/>
    <w:rsid w:val="00CC25E8"/>
    <w:rsid w:val="00CC55CD"/>
    <w:rsid w:val="00CC64F0"/>
    <w:rsid w:val="00CE54FB"/>
    <w:rsid w:val="00CF49DF"/>
    <w:rsid w:val="00D01378"/>
    <w:rsid w:val="00D04C20"/>
    <w:rsid w:val="00D36611"/>
    <w:rsid w:val="00D45D54"/>
    <w:rsid w:val="00D55C13"/>
    <w:rsid w:val="00D61A1B"/>
    <w:rsid w:val="00D73B5B"/>
    <w:rsid w:val="00D74AA0"/>
    <w:rsid w:val="00D74DDB"/>
    <w:rsid w:val="00D7655B"/>
    <w:rsid w:val="00D84924"/>
    <w:rsid w:val="00DA15B3"/>
    <w:rsid w:val="00DA6384"/>
    <w:rsid w:val="00DC0106"/>
    <w:rsid w:val="00DC2307"/>
    <w:rsid w:val="00DC3780"/>
    <w:rsid w:val="00DC609A"/>
    <w:rsid w:val="00DE014C"/>
    <w:rsid w:val="00DE0333"/>
    <w:rsid w:val="00DE07DF"/>
    <w:rsid w:val="00DE16AC"/>
    <w:rsid w:val="00DE5AA6"/>
    <w:rsid w:val="00E163D6"/>
    <w:rsid w:val="00E229FA"/>
    <w:rsid w:val="00E309EF"/>
    <w:rsid w:val="00E35CE7"/>
    <w:rsid w:val="00E40186"/>
    <w:rsid w:val="00E45647"/>
    <w:rsid w:val="00E5254D"/>
    <w:rsid w:val="00E62323"/>
    <w:rsid w:val="00E65BB4"/>
    <w:rsid w:val="00E672D2"/>
    <w:rsid w:val="00E8639A"/>
    <w:rsid w:val="00E86D49"/>
    <w:rsid w:val="00E9188B"/>
    <w:rsid w:val="00EA368A"/>
    <w:rsid w:val="00EA3F5B"/>
    <w:rsid w:val="00EA4E87"/>
    <w:rsid w:val="00EB0D21"/>
    <w:rsid w:val="00EB63A6"/>
    <w:rsid w:val="00EB714C"/>
    <w:rsid w:val="00EC15B4"/>
    <w:rsid w:val="00EC5AE7"/>
    <w:rsid w:val="00EC6328"/>
    <w:rsid w:val="00ED03FD"/>
    <w:rsid w:val="00ED1A35"/>
    <w:rsid w:val="00EE2668"/>
    <w:rsid w:val="00EE5EA5"/>
    <w:rsid w:val="00EF0BE5"/>
    <w:rsid w:val="00EF0EC2"/>
    <w:rsid w:val="00EF3B8E"/>
    <w:rsid w:val="00F049A1"/>
    <w:rsid w:val="00F066CC"/>
    <w:rsid w:val="00F11C2B"/>
    <w:rsid w:val="00F20B6D"/>
    <w:rsid w:val="00F425DB"/>
    <w:rsid w:val="00F5564E"/>
    <w:rsid w:val="00F64445"/>
    <w:rsid w:val="00F67ED6"/>
    <w:rsid w:val="00F766C9"/>
    <w:rsid w:val="00F93D00"/>
    <w:rsid w:val="00FC079D"/>
    <w:rsid w:val="00FC6728"/>
    <w:rsid w:val="00FE6A04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C6B768-5289-4AD8-921C-159E49F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93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2">
    <w:name w:val="heading 2"/>
    <w:basedOn w:val="Normal"/>
    <w:next w:val="Normal"/>
    <w:link w:val="Titre2Car"/>
    <w:uiPriority w:val="9"/>
    <w:qFormat/>
    <w:rsid w:val="001936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936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936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13F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13F3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56C4D"/>
    <w:rPr>
      <w:color w:val="0000FF"/>
      <w:u w:val="single"/>
    </w:rPr>
  </w:style>
  <w:style w:type="paragraph" w:styleId="Notedebasdepage">
    <w:name w:val="footnote text"/>
    <w:aliases w:val="-E Fußnotentext,Fußnotentext Ursprung,footnote text,Footnote,Footnote Bulletin BCL,Fußnote,Footnote Text Char Char,FSR footnote,lábléc,Voetnoottekst Char,Voetnoottekst Char1 Char,Voetnoottekst Char Char Char,Footnote Char Char Char,f"/>
    <w:basedOn w:val="Normal"/>
    <w:link w:val="NotedebasdepageCar"/>
    <w:unhideWhenUsed/>
    <w:rsid w:val="00156C4D"/>
    <w:rPr>
      <w:sz w:val="20"/>
      <w:szCs w:val="20"/>
    </w:rPr>
  </w:style>
  <w:style w:type="character" w:customStyle="1" w:styleId="NotedebasdepageCar">
    <w:name w:val="Note de bas de page Car"/>
    <w:aliases w:val="-E Fußnotentext Car,Fußnotentext Ursprung Car,footnote text Car,Footnote Car,Footnote Bulletin BCL Car,Fußnote Car,Footnote Text Char Char Car,FSR footnote Car,lábléc Car,Voetnoottekst Char Car,Voetnoottekst Char1 Char Car,f Car"/>
    <w:link w:val="Notedebasdepage"/>
    <w:rsid w:val="00156C4D"/>
    <w:rPr>
      <w:lang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Footnote Reference_LVL61"/>
    <w:unhideWhenUsed/>
    <w:rsid w:val="00156C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6C4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A50EC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322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50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250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50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250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250C"/>
    <w:rPr>
      <w:rFonts w:ascii="Segoe UI" w:hAnsi="Segoe UI" w:cs="Segoe UI"/>
      <w:sz w:val="18"/>
      <w:szCs w:val="18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1936E6"/>
  </w:style>
  <w:style w:type="character" w:customStyle="1" w:styleId="hps">
    <w:name w:val="hps"/>
    <w:rsid w:val="001936E6"/>
  </w:style>
  <w:style w:type="paragraph" w:styleId="NormalWeb">
    <w:name w:val="Normal (Web)"/>
    <w:basedOn w:val="Normal"/>
    <w:uiPriority w:val="99"/>
    <w:unhideWhenUsed/>
    <w:rsid w:val="00193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uiPriority w:val="22"/>
    <w:qFormat/>
    <w:rsid w:val="001936E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1936E6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1936E6"/>
  </w:style>
  <w:style w:type="character" w:styleId="Accentuation">
    <w:name w:val="Emphasis"/>
    <w:uiPriority w:val="20"/>
    <w:qFormat/>
    <w:rsid w:val="001936E6"/>
    <w:rPr>
      <w:i/>
      <w:iCs/>
    </w:rPr>
  </w:style>
  <w:style w:type="paragraph" w:customStyle="1" w:styleId="AvisBudgetTableau">
    <w:name w:val="Avis Budget_Tableau"/>
    <w:basedOn w:val="Normal"/>
    <w:autoRedefine/>
    <w:qFormat/>
    <w:rsid w:val="001936E6"/>
    <w:pPr>
      <w:keepNext/>
      <w:keepLines/>
      <w:widowControl w:val="0"/>
      <w:numPr>
        <w:numId w:val="10"/>
      </w:numPr>
      <w:spacing w:before="120" w:after="0" w:line="288" w:lineRule="auto"/>
    </w:pPr>
    <w:rPr>
      <w:rFonts w:ascii="Times New Roman" w:eastAsia="Times New Roman" w:hAnsi="Times New Roman" w:cs="Arial"/>
      <w:b/>
      <w:sz w:val="20"/>
      <w:lang w:val="fr-FR"/>
    </w:rPr>
  </w:style>
  <w:style w:type="paragraph" w:styleId="Rvision">
    <w:name w:val="Revision"/>
    <w:hidden/>
    <w:uiPriority w:val="99"/>
    <w:semiHidden/>
    <w:rsid w:val="001936E6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1936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1936E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936E6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1936E6"/>
    <w:rPr>
      <w:rFonts w:eastAsia="Times New Roman"/>
      <w:b/>
      <w:bCs/>
      <w:sz w:val="28"/>
      <w:szCs w:val="28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1936E6"/>
  </w:style>
  <w:style w:type="table" w:customStyle="1" w:styleId="Grilledutableau2">
    <w:name w:val="Grille du tableau2"/>
    <w:basedOn w:val="TableauNormal"/>
    <w:next w:val="Grilledutableau"/>
    <w:uiPriority w:val="59"/>
    <w:rsid w:val="0019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2">
    <w:name w:val="a__t2"/>
    <w:rsid w:val="001936E6"/>
  </w:style>
  <w:style w:type="character" w:customStyle="1" w:styleId="Date1">
    <w:name w:val="Date1"/>
    <w:rsid w:val="001936E6"/>
  </w:style>
  <w:style w:type="character" w:customStyle="1" w:styleId="at1">
    <w:name w:val="a__t1"/>
    <w:rsid w:val="001936E6"/>
  </w:style>
  <w:style w:type="character" w:customStyle="1" w:styleId="Liste1">
    <w:name w:val="Liste1"/>
    <w:rsid w:val="001936E6"/>
  </w:style>
  <w:style w:type="character" w:customStyle="1" w:styleId="definition">
    <w:name w:val="definition"/>
    <w:rsid w:val="001936E6"/>
  </w:style>
  <w:style w:type="character" w:customStyle="1" w:styleId="blocdef">
    <w:name w:val="bloc_def"/>
    <w:rsid w:val="001936E6"/>
  </w:style>
  <w:style w:type="paragraph" w:customStyle="1" w:styleId="Grilleclaire-Accent31">
    <w:name w:val="Grille claire - Accent 31"/>
    <w:basedOn w:val="Normal"/>
    <w:uiPriority w:val="34"/>
    <w:qFormat/>
    <w:rsid w:val="001936E6"/>
    <w:pPr>
      <w:ind w:left="720"/>
      <w:contextualSpacing/>
    </w:pPr>
    <w:rPr>
      <w:lang w:val="lb-LU"/>
    </w:rPr>
  </w:style>
  <w:style w:type="character" w:customStyle="1" w:styleId="atn">
    <w:name w:val="atn"/>
    <w:rsid w:val="001936E6"/>
  </w:style>
  <w:style w:type="paragraph" w:customStyle="1" w:styleId="Default">
    <w:name w:val="Default"/>
    <w:rsid w:val="001936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1936E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table" w:customStyle="1" w:styleId="Grilledetableauclaire1">
    <w:name w:val="Grille de tableau claire1"/>
    <w:basedOn w:val="TableauNormal"/>
    <w:uiPriority w:val="40"/>
    <w:rsid w:val="001936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1936E6"/>
  </w:style>
  <w:style w:type="table" w:customStyle="1" w:styleId="Grilledutableau3">
    <w:name w:val="Grille du tableau3"/>
    <w:basedOn w:val="TableauNormal"/>
    <w:next w:val="Grilledutableau"/>
    <w:uiPriority w:val="59"/>
    <w:rsid w:val="001936E6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31">
    <w:name w:val="Trame claire - Accent 31"/>
    <w:basedOn w:val="TableauNormal"/>
    <w:next w:val="Trameclaire-Accent3"/>
    <w:uiPriority w:val="60"/>
    <w:rsid w:val="001936E6"/>
    <w:rPr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3">
    <w:name w:val="Light Shading Accent 3"/>
    <w:basedOn w:val="TableauNormal"/>
    <w:uiPriority w:val="60"/>
    <w:rsid w:val="001936E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Aucuneliste4">
    <w:name w:val="Aucune liste4"/>
    <w:next w:val="Aucuneliste"/>
    <w:uiPriority w:val="99"/>
    <w:semiHidden/>
    <w:unhideWhenUsed/>
    <w:rsid w:val="001936E6"/>
  </w:style>
  <w:style w:type="table" w:customStyle="1" w:styleId="Grilledutableau4">
    <w:name w:val="Grille du tableau4"/>
    <w:basedOn w:val="TableauNormal"/>
    <w:next w:val="Grilledutableau"/>
    <w:uiPriority w:val="39"/>
    <w:rsid w:val="00193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">
    <w:name w:val="selectable"/>
    <w:rsid w:val="001936E6"/>
  </w:style>
  <w:style w:type="numbering" w:customStyle="1" w:styleId="Aucuneliste5">
    <w:name w:val="Aucune liste5"/>
    <w:next w:val="Aucuneliste"/>
    <w:uiPriority w:val="99"/>
    <w:semiHidden/>
    <w:unhideWhenUsed/>
    <w:rsid w:val="001936E6"/>
  </w:style>
  <w:style w:type="paragraph" w:customStyle="1" w:styleId="CM1">
    <w:name w:val="CM1"/>
    <w:basedOn w:val="Default"/>
    <w:next w:val="Default"/>
    <w:uiPriority w:val="99"/>
    <w:rsid w:val="001936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1936E6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936E6"/>
    <w:pPr>
      <w:spacing w:after="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936E6"/>
    <w:pPr>
      <w:spacing w:after="50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936E6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936E6"/>
    <w:pPr>
      <w:spacing w:after="41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936E6"/>
    <w:pPr>
      <w:spacing w:after="14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936E6"/>
    <w:pPr>
      <w:spacing w:after="30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36E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936E6"/>
    <w:pPr>
      <w:spacing w:after="37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1936E6"/>
    <w:pPr>
      <w:spacing w:after="478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1936E6"/>
    <w:pPr>
      <w:spacing w:after="23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1936E6"/>
    <w:pPr>
      <w:spacing w:after="140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1936E6"/>
    <w:pPr>
      <w:spacing w:after="35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936E6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1936E6"/>
    <w:pPr>
      <w:spacing w:line="25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1936E6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378D091-3B25-45D3-895C-0F830E557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C8AE3-08C4-4E01-9D41-63D5B8647034}"/>
</file>

<file path=customXml/itemProps3.xml><?xml version="1.0" encoding="utf-8"?>
<ds:datastoreItem xmlns:ds="http://schemas.openxmlformats.org/officeDocument/2006/customXml" ds:itemID="{CC8A488A-FF89-4246-93CD-44CC81E0C556}"/>
</file>

<file path=customXml/itemProps4.xml><?xml version="1.0" encoding="utf-8"?>
<ds:datastoreItem xmlns:ds="http://schemas.openxmlformats.org/officeDocument/2006/customXml" ds:itemID="{C809BDDD-289E-4131-8E5A-432C0EA5B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Henri Kox</dc:creator>
  <cp:keywords/>
  <cp:lastModifiedBy>SYSTEM</cp:lastModifiedBy>
  <cp:revision>2</cp:revision>
  <cp:lastPrinted>2015-12-07T14:18:00Z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