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68" w:rsidRPr="00355E83" w:rsidRDefault="00A82968" w:rsidP="00355E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fr-FR" w:eastAsia="en-GB"/>
        </w:rPr>
      </w:pPr>
      <w:bookmarkStart w:id="0" w:name="_GoBack"/>
      <w:bookmarkEnd w:id="0"/>
      <w:r w:rsidRPr="00355E83">
        <w:rPr>
          <w:rFonts w:ascii="Arial" w:hAnsi="Arial" w:cs="Arial"/>
          <w:b/>
          <w:color w:val="000000"/>
          <w:lang w:val="fr-FR" w:eastAsia="en-GB"/>
        </w:rPr>
        <w:t>7043 Résumé</w:t>
      </w:r>
    </w:p>
    <w:p w:rsidR="00A82968" w:rsidRPr="00355E83" w:rsidRDefault="00A82968" w:rsidP="00355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 w:eastAsia="en-GB"/>
        </w:rPr>
      </w:pPr>
    </w:p>
    <w:p w:rsidR="00110F58" w:rsidRPr="00355E83" w:rsidRDefault="00110F58" w:rsidP="00355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  <w:r w:rsidRPr="00355E83">
        <w:rPr>
          <w:rFonts w:ascii="Arial" w:hAnsi="Arial" w:cs="Arial"/>
          <w:color w:val="000000"/>
          <w:lang w:val="fr-FR" w:eastAsia="en-GB"/>
        </w:rPr>
        <w:t xml:space="preserve">Cette future loi </w:t>
      </w:r>
      <w:r w:rsidRPr="00355E83">
        <w:rPr>
          <w:rFonts w:ascii="Arial" w:hAnsi="Arial" w:cs="Arial"/>
          <w:color w:val="000000"/>
          <w:lang w:eastAsia="en-GB"/>
        </w:rPr>
        <w:t>étend les attributions du département de la surveillance du marché de l'ILNAS</w:t>
      </w:r>
      <w:r w:rsidRPr="00355E83">
        <w:rPr>
          <w:rStyle w:val="Appelnotedebasdep"/>
          <w:rFonts w:ascii="Arial" w:hAnsi="Arial" w:cs="Arial"/>
          <w:color w:val="000000"/>
          <w:lang w:eastAsia="en-GB"/>
        </w:rPr>
        <w:footnoteReference w:id="1"/>
      </w:r>
      <w:r w:rsidRPr="00355E83">
        <w:rPr>
          <w:rFonts w:ascii="Arial" w:hAnsi="Arial" w:cs="Arial"/>
          <w:color w:val="000000"/>
          <w:lang w:eastAsia="en-GB"/>
        </w:rPr>
        <w:t>.</w:t>
      </w:r>
    </w:p>
    <w:p w:rsidR="00110F58" w:rsidRPr="00355E83" w:rsidRDefault="00110F58" w:rsidP="00355E8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110F58" w:rsidRPr="00110F58" w:rsidRDefault="00110F58" w:rsidP="00355E83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110F58">
        <w:rPr>
          <w:rFonts w:ascii="Arial" w:hAnsi="Arial" w:cs="Arial"/>
          <w:lang w:val="fr-FR"/>
        </w:rPr>
        <w:t>Par l’ajout de trois points supplémentaires</w:t>
      </w:r>
      <w:r w:rsidRPr="00355E83">
        <w:rPr>
          <w:rFonts w:ascii="Arial" w:hAnsi="Arial" w:cs="Arial"/>
          <w:lang w:val="fr-FR"/>
        </w:rPr>
        <w:t xml:space="preserve"> au </w:t>
      </w:r>
      <w:r w:rsidRPr="00110F58">
        <w:rPr>
          <w:rFonts w:ascii="Arial" w:hAnsi="Arial" w:cs="Arial"/>
          <w:lang w:val="fr-FR"/>
        </w:rPr>
        <w:t>paragraphe 4 de l'article 8 de la loi modifiée du 4 juillet 2014 portant réorgan</w:t>
      </w:r>
      <w:r w:rsidRPr="00355E83">
        <w:rPr>
          <w:rFonts w:ascii="Arial" w:hAnsi="Arial" w:cs="Arial"/>
          <w:lang w:val="fr-FR"/>
        </w:rPr>
        <w:t>isation de l'ILNAS</w:t>
      </w:r>
      <w:r w:rsidRPr="00110F58">
        <w:rPr>
          <w:rFonts w:ascii="Arial" w:hAnsi="Arial" w:cs="Arial"/>
          <w:lang w:val="fr-FR"/>
        </w:rPr>
        <w:t>, les véhicules et équipements visés par les règlements mentionnés ci-dessous sont dorénavant également soumis au contrôle exercé par le département de la surveillance du marché :</w:t>
      </w:r>
    </w:p>
    <w:p w:rsidR="00110F58" w:rsidRPr="00110F58" w:rsidRDefault="00110F58" w:rsidP="00355E8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110F58" w:rsidRPr="00110F58" w:rsidRDefault="00110F58" w:rsidP="00355E83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lang w:val="fr-FR"/>
        </w:rPr>
      </w:pPr>
      <w:r w:rsidRPr="00110F58">
        <w:rPr>
          <w:rFonts w:ascii="Arial" w:hAnsi="Arial" w:cs="Arial"/>
          <w:lang w:val="fr-FR"/>
        </w:rPr>
        <w:t>le règlement (UE) N° 167/2013 du Parlement européen et du Conseil du 5 février 2013 relatif à la réception et à la surveillance du marché des véhicules agricoles et forestiers ;</w:t>
      </w:r>
    </w:p>
    <w:p w:rsidR="00110F58" w:rsidRPr="00110F58" w:rsidRDefault="00110F58" w:rsidP="00355E83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lang w:val="fr-FR"/>
        </w:rPr>
      </w:pPr>
      <w:r w:rsidRPr="00110F58">
        <w:rPr>
          <w:rFonts w:ascii="Arial" w:hAnsi="Arial" w:cs="Arial"/>
          <w:lang w:val="fr-FR"/>
        </w:rPr>
        <w:t>le règlement (UE) N° 168/2013 du Parlement européen et du Conseil du 15 janvier 2013 relatif à la réception et à la surveillance du marché des véhicules à deux ou trois roues et des quadricycles ; et, par anticipation,</w:t>
      </w:r>
    </w:p>
    <w:p w:rsidR="00110F58" w:rsidRPr="00110F58" w:rsidRDefault="00110F58" w:rsidP="00355E8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110F58">
        <w:rPr>
          <w:rFonts w:ascii="Arial" w:hAnsi="Arial" w:cs="Arial"/>
          <w:lang w:val="fr-FR"/>
        </w:rPr>
        <w:t>la proposition de règlement du Parlement et du Conseil relatif à la réception et à la surveillance du marché des véhicules à moteur et de leurs remorques, ainsi que des systèmes, composants et entités techniques distinctes destinés à ces véhicules [2016/0014 (COD)].</w:t>
      </w:r>
    </w:p>
    <w:p w:rsidR="00110F58" w:rsidRPr="00355E83" w:rsidRDefault="00110F58" w:rsidP="00355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</w:p>
    <w:p w:rsidR="00A82968" w:rsidRPr="00355E83" w:rsidRDefault="00A82968" w:rsidP="00355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  <w:r w:rsidRPr="00355E83">
        <w:rPr>
          <w:rFonts w:ascii="Arial" w:hAnsi="Arial" w:cs="Arial"/>
          <w:color w:val="000000"/>
          <w:lang w:eastAsia="en-GB"/>
        </w:rPr>
        <w:t xml:space="preserve">Le </w:t>
      </w:r>
      <w:r w:rsidR="00110F58" w:rsidRPr="00355E83">
        <w:rPr>
          <w:rFonts w:ascii="Arial" w:hAnsi="Arial" w:cs="Arial"/>
          <w:color w:val="000000"/>
          <w:lang w:eastAsia="en-GB"/>
        </w:rPr>
        <w:t xml:space="preserve">dernier point s’explique par la </w:t>
      </w:r>
      <w:r w:rsidRPr="00355E83">
        <w:rPr>
          <w:rFonts w:ascii="Arial" w:hAnsi="Arial" w:cs="Arial"/>
          <w:color w:val="000000"/>
          <w:lang w:eastAsia="en-GB"/>
        </w:rPr>
        <w:t xml:space="preserve">réponse </w:t>
      </w:r>
      <w:r w:rsidR="00110F58" w:rsidRPr="00355E83">
        <w:rPr>
          <w:rFonts w:ascii="Arial" w:hAnsi="Arial" w:cs="Arial"/>
          <w:color w:val="000000"/>
          <w:lang w:eastAsia="en-GB"/>
        </w:rPr>
        <w:t xml:space="preserve">donnée par la Commission européenne </w:t>
      </w:r>
      <w:r w:rsidRPr="00355E83">
        <w:rPr>
          <w:rFonts w:ascii="Arial" w:hAnsi="Arial" w:cs="Arial"/>
          <w:color w:val="000000"/>
          <w:lang w:eastAsia="en-GB"/>
        </w:rPr>
        <w:t>à l’affaire dite « Volkswagen », propos</w:t>
      </w:r>
      <w:r w:rsidR="00110F58" w:rsidRPr="00355E83">
        <w:rPr>
          <w:rFonts w:ascii="Arial" w:hAnsi="Arial" w:cs="Arial"/>
          <w:color w:val="000000"/>
          <w:lang w:eastAsia="en-GB"/>
        </w:rPr>
        <w:t>ant d</w:t>
      </w:r>
      <w:r w:rsidRPr="00355E83">
        <w:rPr>
          <w:rFonts w:ascii="Arial" w:hAnsi="Arial" w:cs="Arial"/>
          <w:color w:val="000000"/>
          <w:lang w:eastAsia="en-GB"/>
        </w:rPr>
        <w:t>e renforcer la réception par type des véhicules à moteur et de leurs remorques, en particulier en mettant en place des mécanismes adéquats de supervision et en introduisant des dispositions en mati</w:t>
      </w:r>
      <w:r w:rsidR="00092322" w:rsidRPr="00355E83">
        <w:rPr>
          <w:rFonts w:ascii="Arial" w:hAnsi="Arial" w:cs="Arial"/>
          <w:color w:val="000000"/>
          <w:lang w:eastAsia="en-GB"/>
        </w:rPr>
        <w:t>ère de surveillance du marché.</w:t>
      </w:r>
    </w:p>
    <w:p w:rsidR="00092322" w:rsidRPr="00355E83" w:rsidRDefault="00092322" w:rsidP="00355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</w:p>
    <w:p w:rsidR="00A82968" w:rsidRPr="00355E83" w:rsidRDefault="00A82968" w:rsidP="00355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  <w:r w:rsidRPr="00355E83">
        <w:rPr>
          <w:rFonts w:ascii="Arial" w:hAnsi="Arial" w:cs="Arial"/>
          <w:color w:val="000000"/>
          <w:lang w:eastAsia="en-GB"/>
        </w:rPr>
        <w:t>C’est dans ce contexte que la proposition de règlement précitée</w:t>
      </w:r>
      <w:r w:rsidR="006D09D9" w:rsidRPr="00355E83">
        <w:rPr>
          <w:rFonts w:ascii="Arial" w:hAnsi="Arial" w:cs="Arial"/>
          <w:color w:val="000000"/>
          <w:lang w:eastAsia="en-GB"/>
        </w:rPr>
        <w:t>,</w:t>
      </w:r>
      <w:r w:rsidRPr="00355E83">
        <w:rPr>
          <w:rFonts w:ascii="Arial" w:hAnsi="Arial" w:cs="Arial"/>
          <w:color w:val="000000"/>
          <w:lang w:eastAsia="en-GB"/>
        </w:rPr>
        <w:t xml:space="preserve"> </w:t>
      </w:r>
      <w:r w:rsidR="00092322" w:rsidRPr="00355E83">
        <w:rPr>
          <w:rFonts w:ascii="Arial" w:hAnsi="Arial" w:cs="Arial"/>
          <w:color w:val="000000"/>
          <w:lang w:eastAsia="en-GB"/>
        </w:rPr>
        <w:t>et anticipée par le présent projet de loi</w:t>
      </w:r>
      <w:r w:rsidR="006D09D9" w:rsidRPr="00355E83">
        <w:rPr>
          <w:rFonts w:ascii="Arial" w:hAnsi="Arial" w:cs="Arial"/>
          <w:color w:val="000000"/>
          <w:lang w:eastAsia="en-GB"/>
        </w:rPr>
        <w:t>,</w:t>
      </w:r>
      <w:r w:rsidR="00092322" w:rsidRPr="00355E83">
        <w:rPr>
          <w:rFonts w:ascii="Arial" w:hAnsi="Arial" w:cs="Arial"/>
          <w:color w:val="000000"/>
          <w:lang w:eastAsia="en-GB"/>
        </w:rPr>
        <w:t xml:space="preserve"> </w:t>
      </w:r>
      <w:r w:rsidRPr="00355E83">
        <w:rPr>
          <w:rFonts w:ascii="Arial" w:hAnsi="Arial" w:cs="Arial"/>
          <w:color w:val="000000"/>
          <w:lang w:eastAsia="en-GB"/>
        </w:rPr>
        <w:t xml:space="preserve">prévoit la nécessité d’inclure des nouvelles obligations plus spécifiques pour les autorités nationales, notamment des essais et inspections de vérification </w:t>
      </w:r>
      <w:r w:rsidRPr="00355E83">
        <w:rPr>
          <w:rFonts w:ascii="Arial" w:hAnsi="Arial" w:cs="Arial"/>
          <w:i/>
          <w:iCs/>
          <w:color w:val="000000"/>
          <w:lang w:eastAsia="en-GB"/>
        </w:rPr>
        <w:t>ex post</w:t>
      </w:r>
      <w:r w:rsidRPr="00355E83">
        <w:rPr>
          <w:rFonts w:ascii="Arial" w:hAnsi="Arial" w:cs="Arial"/>
          <w:iCs/>
          <w:color w:val="000000"/>
          <w:lang w:eastAsia="en-GB"/>
        </w:rPr>
        <w:t xml:space="preserve"> </w:t>
      </w:r>
      <w:r w:rsidRPr="00355E83">
        <w:rPr>
          <w:rFonts w:ascii="Arial" w:hAnsi="Arial" w:cs="Arial"/>
          <w:color w:val="000000"/>
          <w:lang w:eastAsia="en-GB"/>
        </w:rPr>
        <w:t xml:space="preserve">de la conformité d’un nombre suffisant de véhicules mis sur le marché. </w:t>
      </w:r>
    </w:p>
    <w:p w:rsidR="00A82968" w:rsidRPr="00355E83" w:rsidRDefault="00A82968" w:rsidP="00355E83">
      <w:pPr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</w:p>
    <w:p w:rsidR="00A82968" w:rsidRPr="00355E83" w:rsidRDefault="006D09D9" w:rsidP="00355E83">
      <w:pPr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  <w:r w:rsidRPr="00355E83">
        <w:rPr>
          <w:rFonts w:ascii="Arial" w:hAnsi="Arial" w:cs="Arial"/>
          <w:color w:val="000000"/>
          <w:lang w:eastAsia="en-GB"/>
        </w:rPr>
        <w:t>L</w:t>
      </w:r>
      <w:r w:rsidR="00A82968" w:rsidRPr="00355E83">
        <w:rPr>
          <w:rFonts w:ascii="Arial" w:hAnsi="Arial" w:cs="Arial"/>
          <w:color w:val="000000"/>
          <w:lang w:eastAsia="en-GB"/>
        </w:rPr>
        <w:t xml:space="preserve">es règles existantes en matière de surveillance du marché resteront en place, mais les contrôles </w:t>
      </w:r>
      <w:r w:rsidR="00A82968" w:rsidRPr="00355E83">
        <w:rPr>
          <w:rFonts w:ascii="Arial" w:hAnsi="Arial" w:cs="Arial"/>
          <w:i/>
          <w:iCs/>
          <w:color w:val="000000"/>
          <w:lang w:eastAsia="en-GB"/>
        </w:rPr>
        <w:t>ex ante</w:t>
      </w:r>
      <w:r w:rsidR="00A82968" w:rsidRPr="00355E83">
        <w:rPr>
          <w:rFonts w:ascii="Arial" w:hAnsi="Arial" w:cs="Arial"/>
          <w:iCs/>
          <w:color w:val="000000"/>
          <w:lang w:eastAsia="en-GB"/>
        </w:rPr>
        <w:t xml:space="preserve"> </w:t>
      </w:r>
      <w:r w:rsidR="00A82968" w:rsidRPr="00355E83">
        <w:rPr>
          <w:rFonts w:ascii="Arial" w:hAnsi="Arial" w:cs="Arial"/>
          <w:color w:val="000000"/>
          <w:lang w:eastAsia="en-GB"/>
        </w:rPr>
        <w:t xml:space="preserve">seront complétés par une surveillance du marché </w:t>
      </w:r>
      <w:r w:rsidR="00A82968" w:rsidRPr="00355E83">
        <w:rPr>
          <w:rFonts w:ascii="Arial" w:hAnsi="Arial" w:cs="Arial"/>
          <w:i/>
          <w:iCs/>
          <w:color w:val="000000"/>
          <w:lang w:eastAsia="en-GB"/>
        </w:rPr>
        <w:t>ex post</w:t>
      </w:r>
      <w:r w:rsidR="00A82968" w:rsidRPr="00355E83">
        <w:rPr>
          <w:rFonts w:ascii="Arial" w:hAnsi="Arial" w:cs="Arial"/>
          <w:color w:val="000000"/>
          <w:lang w:eastAsia="en-GB"/>
        </w:rPr>
        <w:t>.</w:t>
      </w:r>
    </w:p>
    <w:p w:rsidR="00A82968" w:rsidRPr="00355E83" w:rsidRDefault="00A82968" w:rsidP="00355E83">
      <w:pPr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</w:p>
    <w:p w:rsidR="00A82968" w:rsidRPr="00355E83" w:rsidRDefault="00A82968" w:rsidP="00355E83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355E83">
        <w:rPr>
          <w:rFonts w:ascii="Arial" w:hAnsi="Arial" w:cs="Arial"/>
          <w:color w:val="000000"/>
          <w:lang w:val="fr-FR"/>
        </w:rPr>
        <w:t xml:space="preserve">La Commission de l’Economie a, par ailleurs, complété l’article unique du projet de loi par un </w:t>
      </w:r>
      <w:r w:rsidR="00092322" w:rsidRPr="00355E83">
        <w:rPr>
          <w:rFonts w:ascii="Arial" w:hAnsi="Arial" w:cs="Arial"/>
          <w:color w:val="000000"/>
          <w:lang w:val="fr-FR"/>
        </w:rPr>
        <w:t xml:space="preserve">premier </w:t>
      </w:r>
      <w:r w:rsidRPr="00355E83">
        <w:rPr>
          <w:rFonts w:ascii="Arial" w:hAnsi="Arial" w:cs="Arial"/>
          <w:color w:val="000000"/>
          <w:lang w:val="fr-FR"/>
        </w:rPr>
        <w:t>paragraphe qui a pour objet d’insérer un article 7</w:t>
      </w:r>
      <w:r w:rsidRPr="00355E83">
        <w:rPr>
          <w:rFonts w:ascii="Arial" w:hAnsi="Arial" w:cs="Arial"/>
          <w:i/>
          <w:color w:val="000000"/>
          <w:lang w:val="fr-FR"/>
        </w:rPr>
        <w:t>bis</w:t>
      </w:r>
      <w:r w:rsidRPr="00355E83">
        <w:rPr>
          <w:rFonts w:ascii="Arial" w:hAnsi="Arial" w:cs="Arial"/>
          <w:color w:val="000000"/>
          <w:lang w:val="fr-FR"/>
        </w:rPr>
        <w:t xml:space="preserve"> dans la loi modifiée du 4 juillet 2014 portant réorganisation de l’ILNAS. L’article inséré énumère les exigences prévues pour les autorités </w:t>
      </w:r>
      <w:proofErr w:type="spellStart"/>
      <w:r w:rsidRPr="00355E83">
        <w:rPr>
          <w:rFonts w:ascii="Arial" w:hAnsi="Arial" w:cs="Arial"/>
          <w:color w:val="000000"/>
          <w:lang w:val="fr-FR"/>
        </w:rPr>
        <w:t>notifiantes</w:t>
      </w:r>
      <w:proofErr w:type="spellEnd"/>
      <w:r w:rsidRPr="00355E83">
        <w:rPr>
          <w:rFonts w:ascii="Arial" w:hAnsi="Arial" w:cs="Arial"/>
          <w:color w:val="000000"/>
          <w:lang w:val="fr-FR"/>
        </w:rPr>
        <w:t xml:space="preserve"> et auxquelles doit également répondre l’OLAS.</w:t>
      </w:r>
    </w:p>
    <w:p w:rsidR="00A82968" w:rsidRPr="00355E83" w:rsidRDefault="00A82968" w:rsidP="00355E83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</w:p>
    <w:p w:rsidR="009029C8" w:rsidRPr="00355E83" w:rsidRDefault="001B35A4" w:rsidP="00355E83">
      <w:pPr>
        <w:spacing w:after="0" w:line="240" w:lineRule="auto"/>
        <w:jc w:val="both"/>
        <w:rPr>
          <w:rFonts w:ascii="Arial" w:hAnsi="Arial" w:cs="Arial"/>
        </w:rPr>
      </w:pPr>
      <w:r w:rsidRPr="00355E83">
        <w:rPr>
          <w:rFonts w:ascii="Arial" w:hAnsi="Arial" w:cs="Arial"/>
          <w:color w:val="000000"/>
          <w:lang w:val="fr-FR"/>
        </w:rPr>
        <w:t>A noter que ce</w:t>
      </w:r>
      <w:r w:rsidR="00A82968" w:rsidRPr="00355E83">
        <w:rPr>
          <w:rFonts w:ascii="Arial" w:hAnsi="Arial" w:cs="Arial"/>
          <w:color w:val="000000"/>
          <w:lang w:val="fr-FR"/>
        </w:rPr>
        <w:t xml:space="preserve"> projet de </w:t>
      </w:r>
      <w:r w:rsidR="00A82968" w:rsidRPr="00355E83">
        <w:rPr>
          <w:rFonts w:ascii="Arial" w:hAnsi="Arial" w:cs="Arial"/>
          <w:lang w:val="fr-FR"/>
        </w:rPr>
        <w:t>loi comporte des dispositions dont l’application est susceptible de grever le budget de l’Etat.</w:t>
      </w:r>
    </w:p>
    <w:sectPr w:rsidR="009029C8" w:rsidRPr="0035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B5" w:rsidRDefault="007746B5" w:rsidP="00110F58">
      <w:pPr>
        <w:spacing w:after="0" w:line="240" w:lineRule="auto"/>
      </w:pPr>
      <w:r>
        <w:separator/>
      </w:r>
    </w:p>
  </w:endnote>
  <w:endnote w:type="continuationSeparator" w:id="0">
    <w:p w:rsidR="007746B5" w:rsidRDefault="007746B5" w:rsidP="0011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B5" w:rsidRDefault="007746B5" w:rsidP="00110F58">
      <w:pPr>
        <w:spacing w:after="0" w:line="240" w:lineRule="auto"/>
      </w:pPr>
      <w:r>
        <w:separator/>
      </w:r>
    </w:p>
  </w:footnote>
  <w:footnote w:type="continuationSeparator" w:id="0">
    <w:p w:rsidR="007746B5" w:rsidRDefault="007746B5" w:rsidP="00110F58">
      <w:pPr>
        <w:spacing w:after="0" w:line="240" w:lineRule="auto"/>
      </w:pPr>
      <w:r>
        <w:continuationSeparator/>
      </w:r>
    </w:p>
  </w:footnote>
  <w:footnote w:id="1">
    <w:p w:rsidR="00110F58" w:rsidRDefault="00110F58" w:rsidP="00110F58">
      <w:pPr>
        <w:pStyle w:val="Notedebasdepage"/>
        <w:spacing w:after="0" w:line="240" w:lineRule="auto"/>
        <w:jc w:val="both"/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/>
        </w:rPr>
        <w:t>L</w:t>
      </w:r>
      <w:r w:rsidRPr="00110F58">
        <w:rPr>
          <w:rFonts w:ascii="Times New Roman" w:hAnsi="Times New Roman"/>
        </w:rPr>
        <w:t>’Institut luxembourgeois de la normalisation, de l’accréditation, de la sécurité et qualité des produits et services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41037"/>
    <w:multiLevelType w:val="hybridMultilevel"/>
    <w:tmpl w:val="A3E41282"/>
    <w:lvl w:ilvl="0" w:tplc="140C0011">
      <w:start w:val="1"/>
      <w:numFmt w:val="decimal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968"/>
    <w:rsid w:val="00092322"/>
    <w:rsid w:val="00110F58"/>
    <w:rsid w:val="001B35A4"/>
    <w:rsid w:val="00355E83"/>
    <w:rsid w:val="003C232D"/>
    <w:rsid w:val="00495D94"/>
    <w:rsid w:val="00507960"/>
    <w:rsid w:val="006D09D9"/>
    <w:rsid w:val="007746B5"/>
    <w:rsid w:val="00805559"/>
    <w:rsid w:val="00842C2A"/>
    <w:rsid w:val="009029C8"/>
    <w:rsid w:val="00A8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3FFAE5-92C4-4614-821B-49927F9D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0F5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10F58"/>
    <w:rPr>
      <w:lang w:eastAsia="en-US"/>
    </w:rPr>
  </w:style>
  <w:style w:type="character" w:styleId="Appelnotedebasdep">
    <w:name w:val="footnote reference"/>
    <w:uiPriority w:val="99"/>
    <w:semiHidden/>
    <w:unhideWhenUsed/>
    <w:rsid w:val="00110F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DP7043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7043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/sftpecos/Dossiers_parlementaires/7043/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6A62181-20EC-414C-843C-B93CA5064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E675C-48BC-43F6-9113-FBC9AA6754E1}"/>
</file>

<file path=customXml/itemProps3.xml><?xml version="1.0" encoding="utf-8"?>
<ds:datastoreItem xmlns:ds="http://schemas.openxmlformats.org/officeDocument/2006/customXml" ds:itemID="{4A110868-158B-445D-AFF0-038E2EBE6124}"/>
</file>

<file path=customXml/itemProps4.xml><?xml version="1.0" encoding="utf-8"?>
<ds:datastoreItem xmlns:ds="http://schemas.openxmlformats.org/officeDocument/2006/customXml" ds:itemID="{0C30EF05-F5B3-4F00-BF29-306465589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