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CE0" w:rsidRPr="00C63CE0" w:rsidRDefault="00C63CE0" w:rsidP="00C63CE0">
      <w:pPr>
        <w:tabs>
          <w:tab w:val="left" w:pos="3584"/>
        </w:tabs>
        <w:spacing w:after="0" w:line="240" w:lineRule="auto"/>
        <w:jc w:val="center"/>
        <w:rPr>
          <w:rFonts w:ascii="Arial" w:hAnsi="Arial" w:cs="Arial"/>
          <w:b/>
        </w:rPr>
      </w:pPr>
      <w:bookmarkStart w:id="0" w:name="_GoBack"/>
      <w:bookmarkEnd w:id="0"/>
      <w:r w:rsidRPr="00C63CE0">
        <w:rPr>
          <w:rFonts w:ascii="Arial" w:hAnsi="Arial" w:cs="Arial"/>
          <w:b/>
        </w:rPr>
        <w:t>7038 Résumé</w:t>
      </w:r>
    </w:p>
    <w:p w:rsidR="00C63CE0" w:rsidRDefault="00C63CE0" w:rsidP="00C63CE0">
      <w:pPr>
        <w:tabs>
          <w:tab w:val="left" w:pos="3584"/>
        </w:tabs>
        <w:spacing w:after="0" w:line="240" w:lineRule="auto"/>
        <w:jc w:val="both"/>
        <w:rPr>
          <w:rFonts w:ascii="Arial" w:hAnsi="Arial" w:cs="Arial"/>
        </w:rPr>
      </w:pPr>
    </w:p>
    <w:p w:rsidR="00C63CE0" w:rsidRPr="00C63CE0" w:rsidRDefault="00C63CE0" w:rsidP="00C63CE0">
      <w:pPr>
        <w:tabs>
          <w:tab w:val="left" w:pos="3584"/>
        </w:tabs>
        <w:spacing w:after="0" w:line="240" w:lineRule="auto"/>
        <w:jc w:val="both"/>
        <w:rPr>
          <w:rFonts w:ascii="Arial" w:hAnsi="Arial" w:cs="Arial"/>
        </w:rPr>
      </w:pPr>
      <w:r w:rsidRPr="00C63CE0">
        <w:rPr>
          <w:rFonts w:ascii="Arial" w:hAnsi="Arial" w:cs="Arial"/>
        </w:rPr>
        <w:t>Les objectifs de ce projet de loi sont, d’un côté, la mise en conformité de la législation sur les pratiques commerciales avec le droit européen et, de l’autre côté, de procéder à une simplification administrative ainsi que de donner plus de flexibilité aux commerçants dans un environnement concurrentiel posant constamment de nouveaux défis.</w:t>
      </w:r>
    </w:p>
    <w:p w:rsidR="00C63CE0" w:rsidRPr="00C63CE0" w:rsidRDefault="00C63CE0" w:rsidP="00C63CE0">
      <w:pPr>
        <w:autoSpaceDE w:val="0"/>
        <w:autoSpaceDN w:val="0"/>
        <w:adjustRightInd w:val="0"/>
        <w:spacing w:after="0" w:line="240" w:lineRule="auto"/>
        <w:jc w:val="both"/>
        <w:rPr>
          <w:rFonts w:ascii="Arial" w:eastAsia="Times New Roman" w:hAnsi="Arial" w:cs="Arial"/>
          <w:lang w:eastAsia="fr-LU"/>
        </w:rPr>
      </w:pPr>
    </w:p>
    <w:p w:rsidR="00C63CE0" w:rsidRPr="00C63CE0" w:rsidRDefault="00C63CE0" w:rsidP="00C63CE0">
      <w:pPr>
        <w:tabs>
          <w:tab w:val="left" w:pos="3584"/>
        </w:tabs>
        <w:spacing w:after="0" w:line="240" w:lineRule="auto"/>
        <w:jc w:val="both"/>
        <w:rPr>
          <w:rFonts w:ascii="Arial" w:hAnsi="Arial" w:cs="Arial"/>
        </w:rPr>
      </w:pPr>
      <w:r w:rsidRPr="00C63CE0">
        <w:rPr>
          <w:rFonts w:ascii="Arial" w:hAnsi="Arial" w:cs="Arial"/>
        </w:rPr>
        <w:t xml:space="preserve">Dans </w:t>
      </w:r>
      <w:r>
        <w:rPr>
          <w:rFonts w:ascii="Arial" w:hAnsi="Arial" w:cs="Arial"/>
        </w:rPr>
        <w:t>une</w:t>
      </w:r>
      <w:r w:rsidRPr="00C63CE0">
        <w:rPr>
          <w:rFonts w:ascii="Arial" w:hAnsi="Arial" w:cs="Arial"/>
        </w:rPr>
        <w:t xml:space="preserve"> lettre de mise en demeure du 16 juin 2016, la Commission européenne a relevé que plusieurs dispositions de la loi modifiée du 30 juillet 2002 font état d’une incompatibilité avec les articles 4 et 5 de la directive 2005/29/CE du Parlement européen et du Conseil du 11 mai 2005 relative aux pratiques commerciales déloyales dans le marché intérieur et modifiant la directive 84/450/CEE du Conseil et les directives 97/7/CE, 98/28/CE et 2002/65/CE du Parlement et du Conseil et le règlement CE n° 2006/2004 du Parlement européen et du Conseil.</w:t>
      </w:r>
    </w:p>
    <w:p w:rsidR="00C63CE0" w:rsidRPr="00C63CE0" w:rsidRDefault="00C63CE0" w:rsidP="00C63CE0">
      <w:pPr>
        <w:tabs>
          <w:tab w:val="left" w:pos="3584"/>
        </w:tabs>
        <w:spacing w:after="0" w:line="240" w:lineRule="auto"/>
        <w:jc w:val="both"/>
        <w:rPr>
          <w:rFonts w:ascii="Arial" w:hAnsi="Arial" w:cs="Arial"/>
        </w:rPr>
      </w:pPr>
    </w:p>
    <w:p w:rsidR="00C63CE0" w:rsidRPr="00C63CE0" w:rsidRDefault="00C63CE0" w:rsidP="00C63CE0">
      <w:pPr>
        <w:autoSpaceDE w:val="0"/>
        <w:autoSpaceDN w:val="0"/>
        <w:adjustRightInd w:val="0"/>
        <w:spacing w:after="0" w:line="240" w:lineRule="auto"/>
        <w:jc w:val="both"/>
        <w:rPr>
          <w:rFonts w:ascii="Arial" w:eastAsia="Times New Roman" w:hAnsi="Arial" w:cs="Arial"/>
          <w:lang w:eastAsia="fr-LU"/>
        </w:rPr>
      </w:pPr>
      <w:r w:rsidRPr="00C63CE0">
        <w:rPr>
          <w:rFonts w:ascii="Arial" w:eastAsia="Times New Roman" w:hAnsi="Arial" w:cs="Arial"/>
          <w:lang w:eastAsia="fr-LU"/>
        </w:rPr>
        <w:t xml:space="preserve">La Commission européenne considère notamment que les mesures nationales ne permettent pas une transposition complète et adéquate de la directive 2005/29/CE qui procède à une harmonisation complète, interdisant ainsi aux Etats membres de maintenir des dispositions nationales plus restrictives dans les domaines harmonisés. </w:t>
      </w:r>
      <w:r>
        <w:rPr>
          <w:rFonts w:ascii="Arial" w:eastAsia="Times New Roman" w:hAnsi="Arial" w:cs="Arial"/>
          <w:lang w:eastAsia="fr-LU"/>
        </w:rPr>
        <w:t>Le présent projet de loi prévoit donc d’</w:t>
      </w:r>
      <w:r w:rsidRPr="00C63CE0">
        <w:rPr>
          <w:rFonts w:ascii="Arial" w:eastAsia="Times New Roman" w:hAnsi="Arial" w:cs="Arial"/>
          <w:color w:val="000000"/>
          <w:lang w:eastAsia="fr-LU"/>
        </w:rPr>
        <w:t xml:space="preserve">abroger et de remplacer la loi modifiée du 30 juillet 2002 </w:t>
      </w:r>
      <w:r w:rsidRPr="00C63CE0">
        <w:rPr>
          <w:rFonts w:ascii="Arial" w:eastAsia="Times New Roman" w:hAnsi="Arial" w:cs="Arial"/>
          <w:lang w:eastAsia="fr-LU"/>
        </w:rPr>
        <w:t>afin d’éviter qu’un recours en manquement ne soit introduit à l’encontre du Grand-Duché de Luxembourg.</w:t>
      </w:r>
    </w:p>
    <w:p w:rsidR="00C63CE0" w:rsidRPr="00C63CE0" w:rsidRDefault="00C63CE0" w:rsidP="00C63CE0">
      <w:pPr>
        <w:autoSpaceDE w:val="0"/>
        <w:autoSpaceDN w:val="0"/>
        <w:adjustRightInd w:val="0"/>
        <w:spacing w:after="0" w:line="240" w:lineRule="auto"/>
        <w:jc w:val="both"/>
        <w:rPr>
          <w:rFonts w:ascii="Arial" w:eastAsia="Times New Roman" w:hAnsi="Arial" w:cs="Arial"/>
          <w:color w:val="000000"/>
          <w:lang w:eastAsia="fr-LU"/>
        </w:rPr>
      </w:pPr>
    </w:p>
    <w:p w:rsidR="00C63CE0" w:rsidRDefault="00C63CE0" w:rsidP="00C63CE0">
      <w:pPr>
        <w:tabs>
          <w:tab w:val="left" w:pos="3584"/>
        </w:tabs>
        <w:spacing w:after="0" w:line="240" w:lineRule="auto"/>
        <w:jc w:val="both"/>
        <w:rPr>
          <w:rFonts w:ascii="Arial" w:hAnsi="Arial" w:cs="Arial"/>
          <w:bCs/>
          <w:color w:val="000000"/>
        </w:rPr>
      </w:pPr>
      <w:r w:rsidRPr="00C63CE0">
        <w:rPr>
          <w:rFonts w:ascii="Arial" w:hAnsi="Arial" w:cs="Arial"/>
          <w:color w:val="000000"/>
        </w:rPr>
        <w:t>Consécutivement à l’abrogation de la loi modifiée du 30 juillet 2002, un certain nombre de principes et mécanismes que la législation nationale connaissait jusqu’alors se voient ainsi supprimés</w:t>
      </w:r>
      <w:r>
        <w:rPr>
          <w:rFonts w:ascii="Arial" w:hAnsi="Arial" w:cs="Arial"/>
          <w:color w:val="000000"/>
        </w:rPr>
        <w:t xml:space="preserve">. Il s’agit </w:t>
      </w:r>
      <w:r w:rsidRPr="00C63CE0">
        <w:rPr>
          <w:rFonts w:ascii="Arial" w:hAnsi="Arial" w:cs="Arial"/>
          <w:bCs/>
          <w:color w:val="000000"/>
        </w:rPr>
        <w:t>principalement</w:t>
      </w:r>
      <w:r w:rsidR="00E90C9E">
        <w:rPr>
          <w:rFonts w:ascii="Arial" w:hAnsi="Arial" w:cs="Arial"/>
          <w:bCs/>
          <w:color w:val="000000"/>
        </w:rPr>
        <w:t> :</w:t>
      </w:r>
    </w:p>
    <w:p w:rsidR="00E90C9E" w:rsidRPr="00C63CE0" w:rsidRDefault="00E90C9E" w:rsidP="00C63CE0">
      <w:pPr>
        <w:tabs>
          <w:tab w:val="left" w:pos="3584"/>
        </w:tabs>
        <w:spacing w:after="0" w:line="240" w:lineRule="auto"/>
        <w:jc w:val="both"/>
        <w:rPr>
          <w:rFonts w:ascii="Arial" w:hAnsi="Arial" w:cs="Arial"/>
          <w:bCs/>
          <w:color w:val="000000"/>
        </w:rPr>
      </w:pPr>
    </w:p>
    <w:p w:rsidR="00C63CE0" w:rsidRPr="00C63CE0" w:rsidRDefault="00E90C9E" w:rsidP="00E90C9E">
      <w:pPr>
        <w:numPr>
          <w:ilvl w:val="0"/>
          <w:numId w:val="1"/>
        </w:numPr>
        <w:tabs>
          <w:tab w:val="left" w:pos="1276"/>
        </w:tabs>
        <w:spacing w:after="0" w:line="240" w:lineRule="auto"/>
        <w:jc w:val="both"/>
        <w:rPr>
          <w:rFonts w:ascii="Arial" w:hAnsi="Arial" w:cs="Arial"/>
          <w:bCs/>
          <w:color w:val="000000"/>
        </w:rPr>
      </w:pPr>
      <w:r>
        <w:rPr>
          <w:rFonts w:ascii="Arial" w:hAnsi="Arial" w:cs="Arial"/>
          <w:bCs/>
          <w:color w:val="000000"/>
        </w:rPr>
        <w:t>d</w:t>
      </w:r>
      <w:r w:rsidRPr="00E90C9E">
        <w:rPr>
          <w:rFonts w:ascii="Arial" w:hAnsi="Arial" w:cs="Arial"/>
          <w:bCs/>
          <w:color w:val="000000"/>
        </w:rPr>
        <w:t>e</w:t>
      </w:r>
      <w:r>
        <w:rPr>
          <w:rFonts w:ascii="Arial" w:hAnsi="Arial" w:cs="Arial"/>
          <w:bCs/>
          <w:color w:val="000000"/>
        </w:rPr>
        <w:t xml:space="preserve"> dispositions visant le</w:t>
      </w:r>
      <w:r w:rsidRPr="00E90C9E">
        <w:rPr>
          <w:rFonts w:ascii="Arial" w:hAnsi="Arial" w:cs="Arial"/>
          <w:bCs/>
          <w:color w:val="000000"/>
        </w:rPr>
        <w:t xml:space="preserve">s </w:t>
      </w:r>
      <w:r w:rsidR="00C63CE0" w:rsidRPr="00C63CE0">
        <w:rPr>
          <w:rFonts w:ascii="Arial" w:hAnsi="Arial" w:cs="Arial"/>
          <w:bCs/>
          <w:color w:val="000000"/>
        </w:rPr>
        <w:t>ventes sous forme de liquidation</w:t>
      </w:r>
      <w:r w:rsidRPr="00E90C9E">
        <w:rPr>
          <w:rFonts w:ascii="Arial" w:hAnsi="Arial" w:cs="Arial"/>
          <w:bCs/>
          <w:color w:val="000000"/>
        </w:rPr>
        <w:t> ;</w:t>
      </w:r>
    </w:p>
    <w:p w:rsidR="00C63CE0" w:rsidRPr="00E90C9E" w:rsidRDefault="00E90C9E" w:rsidP="00E90C9E">
      <w:pPr>
        <w:numPr>
          <w:ilvl w:val="0"/>
          <w:numId w:val="1"/>
        </w:numPr>
        <w:tabs>
          <w:tab w:val="left" w:pos="1276"/>
        </w:tabs>
        <w:spacing w:after="0" w:line="240" w:lineRule="auto"/>
        <w:contextualSpacing/>
        <w:jc w:val="both"/>
        <w:rPr>
          <w:rFonts w:ascii="Arial" w:hAnsi="Arial" w:cs="Arial"/>
          <w:bCs/>
          <w:color w:val="000000"/>
        </w:rPr>
      </w:pPr>
      <w:r w:rsidRPr="00E90C9E">
        <w:rPr>
          <w:rFonts w:ascii="Arial" w:hAnsi="Arial" w:cs="Arial"/>
          <w:bCs/>
          <w:color w:val="000000"/>
        </w:rPr>
        <w:t xml:space="preserve">de </w:t>
      </w:r>
      <w:r>
        <w:rPr>
          <w:rFonts w:ascii="Arial" w:hAnsi="Arial" w:cs="Arial"/>
          <w:bCs/>
          <w:color w:val="000000"/>
        </w:rPr>
        <w:t xml:space="preserve">l’interdiction de </w:t>
      </w:r>
      <w:r w:rsidRPr="00E90C9E">
        <w:rPr>
          <w:rFonts w:ascii="Arial" w:hAnsi="Arial" w:cs="Arial"/>
          <w:bCs/>
          <w:color w:val="000000"/>
        </w:rPr>
        <w:t>l</w:t>
      </w:r>
      <w:r w:rsidR="00C63CE0" w:rsidRPr="00C63CE0">
        <w:rPr>
          <w:rFonts w:ascii="Arial" w:hAnsi="Arial" w:cs="Arial"/>
          <w:bCs/>
          <w:color w:val="000000"/>
        </w:rPr>
        <w:t>a vente à perte</w:t>
      </w:r>
      <w:r w:rsidRPr="00E90C9E">
        <w:rPr>
          <w:rFonts w:ascii="Arial" w:hAnsi="Arial" w:cs="Arial"/>
          <w:bCs/>
          <w:color w:val="000000"/>
        </w:rPr>
        <w:t> ;</w:t>
      </w:r>
    </w:p>
    <w:p w:rsidR="00C63CE0" w:rsidRPr="00C63CE0" w:rsidRDefault="00E90C9E" w:rsidP="00E90C9E">
      <w:pPr>
        <w:numPr>
          <w:ilvl w:val="0"/>
          <w:numId w:val="1"/>
        </w:numPr>
        <w:tabs>
          <w:tab w:val="left" w:pos="1276"/>
        </w:tabs>
        <w:spacing w:after="0" w:line="240" w:lineRule="auto"/>
        <w:contextualSpacing/>
        <w:jc w:val="both"/>
        <w:rPr>
          <w:rFonts w:ascii="Arial" w:hAnsi="Arial" w:cs="Arial"/>
          <w:color w:val="000000"/>
        </w:rPr>
      </w:pPr>
      <w:r w:rsidRPr="00E90C9E">
        <w:rPr>
          <w:rFonts w:ascii="Arial" w:hAnsi="Arial" w:cs="Arial"/>
          <w:bCs/>
          <w:color w:val="000000"/>
        </w:rPr>
        <w:t>d</w:t>
      </w:r>
      <w:r w:rsidR="00C63CE0" w:rsidRPr="00C63CE0">
        <w:rPr>
          <w:rFonts w:ascii="Arial" w:hAnsi="Arial" w:cs="Arial"/>
          <w:bCs/>
          <w:color w:val="000000"/>
        </w:rPr>
        <w:t>e</w:t>
      </w:r>
      <w:r>
        <w:rPr>
          <w:rFonts w:ascii="Arial" w:hAnsi="Arial" w:cs="Arial"/>
          <w:bCs/>
          <w:color w:val="000000"/>
        </w:rPr>
        <w:t xml:space="preserve"> dispositions visant le</w:t>
      </w:r>
      <w:r w:rsidR="00C63CE0" w:rsidRPr="00C63CE0">
        <w:rPr>
          <w:rFonts w:ascii="Arial" w:hAnsi="Arial" w:cs="Arial"/>
          <w:bCs/>
          <w:color w:val="000000"/>
        </w:rPr>
        <w:t>s loteries, jeux-concours et tombolas publicitaires</w:t>
      </w:r>
      <w:r w:rsidRPr="00E90C9E">
        <w:rPr>
          <w:rFonts w:ascii="Arial" w:hAnsi="Arial" w:cs="Arial"/>
          <w:bCs/>
          <w:color w:val="000000"/>
        </w:rPr>
        <w:t> ;</w:t>
      </w:r>
    </w:p>
    <w:p w:rsidR="00C63CE0" w:rsidRPr="00C63CE0" w:rsidRDefault="00E90C9E" w:rsidP="00E90C9E">
      <w:pPr>
        <w:numPr>
          <w:ilvl w:val="0"/>
          <w:numId w:val="1"/>
        </w:numPr>
        <w:tabs>
          <w:tab w:val="left" w:pos="1276"/>
        </w:tabs>
        <w:spacing w:after="0" w:line="240" w:lineRule="auto"/>
        <w:contextualSpacing/>
        <w:jc w:val="both"/>
        <w:rPr>
          <w:rFonts w:ascii="Arial" w:hAnsi="Arial" w:cs="Arial"/>
          <w:color w:val="000000"/>
        </w:rPr>
      </w:pPr>
      <w:r w:rsidRPr="00E90C9E">
        <w:rPr>
          <w:rFonts w:ascii="Arial" w:hAnsi="Arial" w:cs="Arial"/>
          <w:color w:val="000000"/>
        </w:rPr>
        <w:t xml:space="preserve">de l’interdiction </w:t>
      </w:r>
      <w:r>
        <w:rPr>
          <w:rFonts w:ascii="Arial" w:hAnsi="Arial" w:cs="Arial"/>
          <w:color w:val="000000"/>
        </w:rPr>
        <w:t xml:space="preserve">de </w:t>
      </w:r>
      <w:r w:rsidRPr="00E90C9E">
        <w:rPr>
          <w:rFonts w:ascii="Arial" w:hAnsi="Arial" w:cs="Arial"/>
          <w:color w:val="000000"/>
        </w:rPr>
        <w:t>l</w:t>
      </w:r>
      <w:r w:rsidR="00C63CE0" w:rsidRPr="00C63CE0">
        <w:rPr>
          <w:rFonts w:ascii="Arial" w:hAnsi="Arial" w:cs="Arial"/>
          <w:color w:val="000000"/>
        </w:rPr>
        <w:t>a vente en chaîne</w:t>
      </w:r>
      <w:r w:rsidRPr="00E90C9E">
        <w:rPr>
          <w:rFonts w:ascii="Arial" w:hAnsi="Arial" w:cs="Arial"/>
          <w:color w:val="000000"/>
        </w:rPr>
        <w:t> ;</w:t>
      </w:r>
    </w:p>
    <w:p w:rsidR="00C63CE0" w:rsidRPr="00C63CE0" w:rsidRDefault="00E90C9E" w:rsidP="00E90C9E">
      <w:pPr>
        <w:numPr>
          <w:ilvl w:val="0"/>
          <w:numId w:val="1"/>
        </w:numPr>
        <w:tabs>
          <w:tab w:val="left" w:pos="1276"/>
        </w:tabs>
        <w:spacing w:after="0" w:line="240" w:lineRule="auto"/>
        <w:contextualSpacing/>
        <w:jc w:val="both"/>
        <w:rPr>
          <w:rFonts w:ascii="Arial" w:hAnsi="Arial" w:cs="Arial"/>
        </w:rPr>
      </w:pPr>
      <w:r w:rsidRPr="00E90C9E">
        <w:rPr>
          <w:rFonts w:ascii="Arial" w:hAnsi="Arial" w:cs="Arial"/>
          <w:bCs/>
          <w:color w:val="000000"/>
        </w:rPr>
        <w:t>d</w:t>
      </w:r>
      <w:r w:rsidRPr="00C63CE0">
        <w:rPr>
          <w:rFonts w:ascii="Arial" w:hAnsi="Arial" w:cs="Arial"/>
          <w:bCs/>
          <w:color w:val="000000"/>
        </w:rPr>
        <w:t>e</w:t>
      </w:r>
      <w:r>
        <w:rPr>
          <w:rFonts w:ascii="Arial" w:hAnsi="Arial" w:cs="Arial"/>
          <w:bCs/>
          <w:color w:val="000000"/>
        </w:rPr>
        <w:t xml:space="preserve"> dispositions réglan</w:t>
      </w:r>
      <w:r w:rsidRPr="00E90C9E">
        <w:rPr>
          <w:rFonts w:ascii="Arial" w:hAnsi="Arial" w:cs="Arial"/>
          <w:bCs/>
          <w:color w:val="000000"/>
        </w:rPr>
        <w:t xml:space="preserve">t </w:t>
      </w:r>
      <w:r>
        <w:rPr>
          <w:rFonts w:ascii="Arial" w:hAnsi="Arial" w:cs="Arial"/>
          <w:bCs/>
          <w:color w:val="000000"/>
        </w:rPr>
        <w:t xml:space="preserve">les </w:t>
      </w:r>
      <w:r w:rsidR="00C63CE0" w:rsidRPr="00C63CE0">
        <w:rPr>
          <w:rFonts w:ascii="Arial" w:hAnsi="Arial" w:cs="Arial"/>
          <w:bCs/>
          <w:color w:val="000000"/>
        </w:rPr>
        <w:t>ventes aux enchères publiques de biens neufs</w:t>
      </w:r>
      <w:r w:rsidRPr="00E90C9E">
        <w:rPr>
          <w:rFonts w:ascii="Arial" w:hAnsi="Arial" w:cs="Arial"/>
          <w:bCs/>
          <w:color w:val="000000"/>
        </w:rPr>
        <w:t> ;</w:t>
      </w:r>
    </w:p>
    <w:p w:rsidR="00C63CE0" w:rsidRDefault="00E90C9E" w:rsidP="00A328AF">
      <w:pPr>
        <w:numPr>
          <w:ilvl w:val="0"/>
          <w:numId w:val="1"/>
        </w:numPr>
        <w:tabs>
          <w:tab w:val="left" w:pos="1276"/>
        </w:tabs>
        <w:spacing w:after="0" w:line="240" w:lineRule="auto"/>
        <w:contextualSpacing/>
        <w:jc w:val="both"/>
        <w:rPr>
          <w:rFonts w:ascii="Arial" w:hAnsi="Arial" w:cs="Arial"/>
          <w:color w:val="000000"/>
        </w:rPr>
      </w:pPr>
      <w:r w:rsidRPr="00E90C9E">
        <w:rPr>
          <w:rFonts w:ascii="Arial" w:hAnsi="Arial" w:cs="Arial"/>
          <w:color w:val="000000"/>
        </w:rPr>
        <w:t>de</w:t>
      </w:r>
      <w:r w:rsidR="00A328AF">
        <w:rPr>
          <w:rFonts w:ascii="Arial" w:hAnsi="Arial" w:cs="Arial"/>
          <w:color w:val="000000"/>
        </w:rPr>
        <w:t>s</w:t>
      </w:r>
      <w:r w:rsidRPr="00E90C9E">
        <w:rPr>
          <w:rFonts w:ascii="Arial" w:hAnsi="Arial" w:cs="Arial"/>
          <w:color w:val="000000"/>
        </w:rPr>
        <w:t xml:space="preserve"> </w:t>
      </w:r>
      <w:r w:rsidR="00A328AF">
        <w:rPr>
          <w:rFonts w:ascii="Arial" w:hAnsi="Arial" w:cs="Arial"/>
          <w:color w:val="000000"/>
        </w:rPr>
        <w:t>dispositions sur les</w:t>
      </w:r>
      <w:r w:rsidR="00A328AF" w:rsidRPr="00A328AF">
        <w:rPr>
          <w:rFonts w:ascii="Arial" w:hAnsi="Arial" w:cs="Arial"/>
          <w:color w:val="000000"/>
        </w:rPr>
        <w:t xml:space="preserve"> actes de concurrence déloyale</w:t>
      </w:r>
      <w:r w:rsidR="0064186D" w:rsidRPr="00A328AF">
        <w:rPr>
          <w:rFonts w:ascii="Arial" w:hAnsi="Arial" w:cs="Arial"/>
          <w:color w:val="000000"/>
        </w:rPr>
        <w:t>.</w:t>
      </w:r>
    </w:p>
    <w:p w:rsidR="0064186D" w:rsidRDefault="0064186D" w:rsidP="0064186D">
      <w:pPr>
        <w:tabs>
          <w:tab w:val="left" w:pos="1276"/>
        </w:tabs>
        <w:spacing w:after="0" w:line="240" w:lineRule="auto"/>
        <w:contextualSpacing/>
        <w:jc w:val="both"/>
        <w:rPr>
          <w:rFonts w:ascii="Arial" w:hAnsi="Arial" w:cs="Arial"/>
          <w:color w:val="000000"/>
        </w:rPr>
      </w:pPr>
    </w:p>
    <w:p w:rsidR="00C63CE0" w:rsidRDefault="0064186D" w:rsidP="0064186D">
      <w:pPr>
        <w:tabs>
          <w:tab w:val="left" w:pos="1276"/>
        </w:tabs>
        <w:spacing w:after="0" w:line="240" w:lineRule="auto"/>
        <w:contextualSpacing/>
        <w:jc w:val="both"/>
        <w:rPr>
          <w:rFonts w:ascii="Arial" w:hAnsi="Arial" w:cs="Arial"/>
          <w:color w:val="000000"/>
        </w:rPr>
      </w:pPr>
      <w:r>
        <w:rPr>
          <w:rFonts w:ascii="Arial" w:hAnsi="Arial" w:cs="Arial"/>
          <w:color w:val="000000"/>
        </w:rPr>
        <w:t>La future loi se limitera à réglement</w:t>
      </w:r>
      <w:r w:rsidRPr="0064186D">
        <w:rPr>
          <w:rFonts w:ascii="Arial" w:hAnsi="Arial" w:cs="Arial"/>
          <w:color w:val="000000"/>
        </w:rPr>
        <w:t>e</w:t>
      </w:r>
      <w:r>
        <w:rPr>
          <w:rFonts w:ascii="Arial" w:hAnsi="Arial" w:cs="Arial"/>
          <w:color w:val="000000"/>
        </w:rPr>
        <w:t>r</w:t>
      </w:r>
      <w:r w:rsidRPr="0064186D">
        <w:rPr>
          <w:rFonts w:ascii="Arial" w:hAnsi="Arial" w:cs="Arial"/>
          <w:color w:val="000000"/>
        </w:rPr>
        <w:t xml:space="preserve"> les ventes en soldes et sur trottoir </w:t>
      </w:r>
      <w:r>
        <w:rPr>
          <w:rFonts w:ascii="Arial" w:hAnsi="Arial" w:cs="Arial"/>
          <w:color w:val="000000"/>
        </w:rPr>
        <w:t>(</w:t>
      </w:r>
      <w:r w:rsidR="00286999">
        <w:rPr>
          <w:rFonts w:ascii="Arial" w:hAnsi="Arial" w:cs="Arial"/>
          <w:color w:val="000000"/>
        </w:rPr>
        <w:t xml:space="preserve">anciennes </w:t>
      </w:r>
      <w:r>
        <w:rPr>
          <w:rFonts w:ascii="Arial" w:hAnsi="Arial" w:cs="Arial"/>
          <w:color w:val="000000"/>
        </w:rPr>
        <w:t xml:space="preserve">dispositions reprises, une exception mise à part) </w:t>
      </w:r>
      <w:r w:rsidRPr="0064186D">
        <w:rPr>
          <w:rFonts w:ascii="Arial" w:hAnsi="Arial" w:cs="Arial"/>
          <w:color w:val="000000"/>
        </w:rPr>
        <w:t>ainsi que la publicité trompeuse et comparative</w:t>
      </w:r>
      <w:r w:rsidR="00941EBE">
        <w:rPr>
          <w:rFonts w:ascii="Arial" w:hAnsi="Arial" w:cs="Arial"/>
          <w:color w:val="000000"/>
        </w:rPr>
        <w:t xml:space="preserve"> </w:t>
      </w:r>
      <w:r w:rsidR="00941EBE" w:rsidRPr="00941EBE">
        <w:rPr>
          <w:rFonts w:ascii="Arial" w:hAnsi="Arial" w:cs="Arial"/>
          <w:color w:val="000000"/>
        </w:rPr>
        <w:t>(dispositions reprises, une exception mise à part)</w:t>
      </w:r>
      <w:r>
        <w:rPr>
          <w:rFonts w:ascii="Arial" w:hAnsi="Arial" w:cs="Arial"/>
          <w:color w:val="000000"/>
        </w:rPr>
        <w:t>.</w:t>
      </w:r>
    </w:p>
    <w:p w:rsidR="0064186D" w:rsidRPr="00C63CE0" w:rsidRDefault="0064186D" w:rsidP="0064186D">
      <w:pPr>
        <w:tabs>
          <w:tab w:val="left" w:pos="1276"/>
        </w:tabs>
        <w:spacing w:after="0" w:line="240" w:lineRule="auto"/>
        <w:contextualSpacing/>
        <w:jc w:val="both"/>
        <w:rPr>
          <w:rFonts w:ascii="Arial" w:hAnsi="Arial" w:cs="Arial"/>
          <w:color w:val="000000"/>
        </w:rPr>
      </w:pPr>
    </w:p>
    <w:p w:rsidR="009029C8" w:rsidRPr="00E90C9E" w:rsidRDefault="00E90C9E" w:rsidP="00E90C9E">
      <w:pPr>
        <w:spacing w:after="0" w:line="240" w:lineRule="auto"/>
        <w:jc w:val="both"/>
      </w:pPr>
      <w:r w:rsidRPr="00E90C9E">
        <w:rPr>
          <w:rFonts w:ascii="Arial" w:hAnsi="Arial" w:cs="Arial"/>
          <w:color w:val="000000"/>
          <w:lang w:eastAsia="en-GB"/>
        </w:rPr>
        <w:t>Ce</w:t>
      </w:r>
      <w:r w:rsidR="00C63CE0" w:rsidRPr="00C63CE0">
        <w:rPr>
          <w:rFonts w:ascii="Arial" w:hAnsi="Arial" w:cs="Arial"/>
          <w:color w:val="000000"/>
        </w:rPr>
        <w:t xml:space="preserve"> projet de loi ne comporte pas de dispositions dont l’application est susceptible de grever le budget de l’Etat.</w:t>
      </w:r>
    </w:p>
    <w:sectPr w:rsidR="009029C8" w:rsidRPr="00E90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41329"/>
    <w:multiLevelType w:val="hybridMultilevel"/>
    <w:tmpl w:val="977AC2D4"/>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CE0"/>
    <w:rsid w:val="001E13F7"/>
    <w:rsid w:val="00286999"/>
    <w:rsid w:val="002E24FE"/>
    <w:rsid w:val="0064186D"/>
    <w:rsid w:val="009029C8"/>
    <w:rsid w:val="00941EBE"/>
    <w:rsid w:val="00A328AF"/>
    <w:rsid w:val="00C63CE0"/>
    <w:rsid w:val="00E90C9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72C9AC-3561-4CDE-BAB7-D3869D42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WDocsPath xmlns="84f9a6a8-f2d8-4679-afd4-008cbd8c3661">/sftpecos/Dossiers_parlementaires/7038/</WDocsPath>
    <FileClassificationLevel5 xmlns="84f9a6a8-f2d8-4679-afd4-008cbd8c3661" xsi:nil="true"/>
    <CaseNumber xmlns="84f9a6a8-f2d8-4679-afd4-008cbd8c3661">7038</CaseNumber>
    <MeetingDate xmlns="84f9a6a8-f2d8-4679-afd4-008cbd8c3661" xsi:nil="true"/>
    <TermofAdministrativeUsefulness xmlns="84f9a6a8-f2d8-4679-afd4-008cbd8c3661" xsi:nil="true"/>
    <FileClassificationLevel1 xmlns="84f9a6a8-f2d8-4679-afd4-008cbd8c3661">40_Procedure_legislative_et_reglementaire</FileClassificationLevel1>
    <CaseSubType xmlns="84f9a6a8-f2d8-4679-afd4-008cbd8c3661">Projet de loi</CaseSubType>
    <CaseCreationDate xmlns="84f9a6a8-f2d8-4679-afd4-008cbd8c3661" xsi:nil="true"/>
    <DocumentType xmlns="84f9a6a8-f2d8-4679-afd4-008cbd8c3661">Resumé</DocumentType>
    <CaseType xmlns="84f9a6a8-f2d8-4679-afd4-008cbd8c3661">Parliamentary File</CaseType>
    <_ExtendedDescription xmlns="http://schemas.microsoft.com/sharepoint/v3" xsi:nil="true"/>
    <Suffixe_x0020_du_x0020_Numéro_x0020_parlementaire xmlns="84f9a6a8-f2d8-4679-afd4-008cbd8c3661" xsi:nil="true"/>
    <FileClassificationLevel4 xmlns="84f9a6a8-f2d8-4679-afd4-008cbd8c3661" xsi:nil="true"/>
    <ExpedId xmlns="84f9a6a8-f2d8-4679-afd4-008cbd8c3661" xsi:nil="true"/>
    <Numéro_x0020_parlementaire xmlns="84f9a6a8-f2d8-4679-afd4-008cbd8c3661" xsi:nil="true"/>
    <Creator xmlns="84f9a6a8-f2d8-4679-afd4-008cbd8c3661">Chambre des Députés</Creator>
    <MeetingNumber xmlns="84f9a6a8-f2d8-4679-afd4-008cbd8c3661" xsi:nil="true"/>
    <FileClassificationLevel2 xmlns="84f9a6a8-f2d8-4679-afd4-008cbd8c3661">10_Projet_loi</FileClassificationLevel2>
    <Sort_x0020_final xmlns="84f9a6a8-f2d8-4679-afd4-008cbd8c3661" xsi:nil="true"/>
    <lcf76f155ced4ddcb4097134ff3c332f xmlns="8fd78538-4e6d-410c-b987-cd1c58629c92">
      <Terms xmlns="http://schemas.microsoft.com/office/infopath/2007/PartnerControls"/>
    </lcf76f155ced4ddcb4097134ff3c332f>
    <TaxCatchAll xmlns="84f9a6a8-f2d8-4679-afd4-008cbd8c3661" xsi:nil="true"/>
    <FileClassificationLevel3 xmlns="84f9a6a8-f2d8-4679-afd4-008cbd8c3661">DP7038</FileClassificationLevel3>
    <FileStatus_x0020_ xmlns="84f9a6a8-f2d8-4679-afd4-008cbd8c3661" xsi:nil="true"/>
    <FileSecurityLevel_x0020_ xmlns="84f9a6a8-f2d8-4679-afd4-008cbd8c3661">CHD_Level1_Public</FileSecurityLevel_x0020_>
  </documentManagement>
</p:properties>
</file>

<file path=customXml/itemProps1.xml><?xml version="1.0" encoding="utf-8"?>
<ds:datastoreItem xmlns:ds="http://schemas.openxmlformats.org/officeDocument/2006/customXml" ds:itemID="{960CFF03-37CC-4764-A5D5-C0F12E681E99}"/>
</file>

<file path=customXml/itemProps2.xml><?xml version="1.0" encoding="utf-8"?>
<ds:datastoreItem xmlns:ds="http://schemas.openxmlformats.org/officeDocument/2006/customXml" ds:itemID="{3792B0BA-91B0-492D-B80A-2C2089349FE2}"/>
</file>

<file path=customXml/itemProps3.xml><?xml version="1.0" encoding="utf-8"?>
<ds:datastoreItem xmlns:ds="http://schemas.openxmlformats.org/officeDocument/2006/customXml" ds:itemID="{96377898-A440-4A6A-B373-A97A6DAD7B53}"/>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2004</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y fmtid="{D5CDD505-2E9C-101B-9397-08002B2CF9AE}" pid="4" name="FileSecurityLevel">
    <vt:lpwstr>CHD_Level1_Public</vt:lpwstr>
  </property>
</Properties>
</file>