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A00" w:rsidRDefault="0002273C" w:rsidP="00C0013A">
      <w:pPr>
        <w:keepLines/>
        <w:spacing w:after="0" w:line="240" w:lineRule="auto"/>
        <w:jc w:val="both"/>
        <w:rPr>
          <w:rFonts w:ascii="Arial" w:eastAsia="Times New Roman" w:hAnsi="Arial" w:cs="Arial"/>
          <w:b/>
        </w:rPr>
      </w:pPr>
      <w:bookmarkStart w:id="0" w:name="_GoBack"/>
      <w:bookmarkEnd w:id="0"/>
      <w:r w:rsidRPr="00BC37B6">
        <w:rPr>
          <w:rFonts w:ascii="Arial" w:hAnsi="Arial" w:cs="Arial"/>
          <w:b/>
          <w:bCs/>
        </w:rPr>
        <w:t>Projet de loi</w:t>
      </w:r>
      <w:r w:rsidRPr="00BC37B6">
        <w:rPr>
          <w:rFonts w:ascii="Arial" w:hAnsi="Arial" w:cs="Arial"/>
          <w:b/>
          <w:bCs/>
          <w:lang w:eastAsia="fr-LU"/>
        </w:rPr>
        <w:t xml:space="preserve"> </w:t>
      </w:r>
      <w:r w:rsidR="00C0013A" w:rsidRPr="00E072B7">
        <w:rPr>
          <w:rFonts w:ascii="Arial" w:hAnsi="Arial" w:cs="Arial"/>
          <w:b/>
          <w:bCs/>
        </w:rPr>
        <w:t>7022</w:t>
      </w:r>
      <w:r w:rsidR="00C0013A">
        <w:rPr>
          <w:rFonts w:ascii="Arial" w:hAnsi="Arial" w:cs="Arial"/>
          <w:b/>
          <w:bCs/>
        </w:rPr>
        <w:t xml:space="preserve"> </w:t>
      </w:r>
      <w:r w:rsidR="005F3A00" w:rsidRPr="00CB3136">
        <w:rPr>
          <w:rFonts w:ascii="Arial" w:eastAsia="Times New Roman" w:hAnsi="Arial" w:cs="Arial"/>
          <w:b/>
        </w:rPr>
        <w:t>relative aux abus de marché et portant :</w:t>
      </w:r>
    </w:p>
    <w:p w:rsidR="005F3A00" w:rsidRDefault="005F3A00" w:rsidP="00C0013A">
      <w:pPr>
        <w:keepNext/>
        <w:keepLines/>
        <w:numPr>
          <w:ilvl w:val="0"/>
          <w:numId w:val="1"/>
        </w:numPr>
        <w:spacing w:after="0" w:line="240" w:lineRule="auto"/>
        <w:ind w:left="284" w:hanging="284"/>
        <w:jc w:val="both"/>
        <w:rPr>
          <w:rFonts w:ascii="Arial" w:eastAsia="Times New Roman" w:hAnsi="Arial" w:cs="Arial"/>
          <w:b/>
        </w:rPr>
      </w:pPr>
      <w:r w:rsidRPr="00CB3136">
        <w:rPr>
          <w:rFonts w:ascii="Arial" w:eastAsia="Times New Roman" w:hAnsi="Arial" w:cs="Arial"/>
          <w:b/>
        </w:rPr>
        <w:t>mise en œuvre du règlement (UE) n°596/2014 du Parlement européen et du Conseil du 16 avril 2014 sur les abus de marché (règlement relatif aux abus de marché) et abrogeant la directive 2003/6/CE du Parlement européen et du Conseil et les directives 2003/124/CE, 2003/125/CE et 2004/72/CE de la Commission ;</w:t>
      </w:r>
    </w:p>
    <w:p w:rsidR="0047293C" w:rsidRPr="00301B2B" w:rsidRDefault="005F3A00" w:rsidP="00C0013A">
      <w:pPr>
        <w:keepNext/>
        <w:keepLines/>
        <w:numPr>
          <w:ilvl w:val="0"/>
          <w:numId w:val="1"/>
        </w:numPr>
        <w:spacing w:after="0" w:line="240" w:lineRule="auto"/>
        <w:ind w:left="284" w:hanging="284"/>
        <w:contextualSpacing/>
        <w:jc w:val="both"/>
        <w:rPr>
          <w:rFonts w:ascii="Arial" w:eastAsia="Times New Roman" w:hAnsi="Arial" w:cs="Arial"/>
          <w:b/>
        </w:rPr>
      </w:pPr>
      <w:r w:rsidRPr="00CB3136">
        <w:rPr>
          <w:rFonts w:ascii="Arial" w:eastAsia="Times New Roman" w:hAnsi="Arial" w:cs="Arial"/>
          <w:b/>
        </w:rPr>
        <w:t>transposition de :</w:t>
      </w:r>
    </w:p>
    <w:p w:rsidR="005F3A00" w:rsidRPr="00CB3136" w:rsidRDefault="005F3A00" w:rsidP="00C0013A">
      <w:pPr>
        <w:keepNext/>
        <w:keepLines/>
        <w:numPr>
          <w:ilvl w:val="1"/>
          <w:numId w:val="2"/>
        </w:numPr>
        <w:spacing w:after="0" w:line="240" w:lineRule="auto"/>
        <w:ind w:left="567" w:hanging="284"/>
        <w:jc w:val="both"/>
        <w:rPr>
          <w:rFonts w:ascii="Arial" w:eastAsia="Times New Roman" w:hAnsi="Arial" w:cs="Arial"/>
          <w:b/>
        </w:rPr>
      </w:pPr>
      <w:r w:rsidRPr="00CB3136">
        <w:rPr>
          <w:rFonts w:ascii="Arial" w:eastAsia="Times New Roman" w:hAnsi="Arial" w:cs="Arial"/>
          <w:b/>
        </w:rPr>
        <w:t>la directive 2014/57/UE du Parlement européen et du Conseil du 16 avril 2014 relative aux sanctions pénales applicables aux abus de marché (directive relative aux abus de marché) ; </w:t>
      </w:r>
    </w:p>
    <w:p w:rsidR="005F3A00" w:rsidRDefault="005F3A00" w:rsidP="00C0013A">
      <w:pPr>
        <w:keepNext/>
        <w:keepLines/>
        <w:numPr>
          <w:ilvl w:val="1"/>
          <w:numId w:val="2"/>
        </w:numPr>
        <w:spacing w:after="0" w:line="240" w:lineRule="auto"/>
        <w:ind w:left="567" w:hanging="284"/>
        <w:jc w:val="both"/>
        <w:rPr>
          <w:rFonts w:ascii="Arial" w:eastAsia="Times New Roman" w:hAnsi="Arial" w:cs="Arial"/>
          <w:b/>
        </w:rPr>
      </w:pPr>
      <w:r w:rsidRPr="00CB3136">
        <w:rPr>
          <w:rFonts w:ascii="Arial" w:eastAsia="Times New Roman" w:hAnsi="Arial" w:cs="Arial"/>
          <w:b/>
        </w:rPr>
        <w:t>la directive d’exécution (UE) 2015/2392 de la Commission du 17 décembre 2015 relative au règlement (UE) n°596/2014 du Parlement européen et du Conseil en ce qui concerne le signalement aux autorités compétentes des violations potentie</w:t>
      </w:r>
      <w:r w:rsidR="00FC0B74">
        <w:rPr>
          <w:rFonts w:ascii="Arial" w:eastAsia="Times New Roman" w:hAnsi="Arial" w:cs="Arial"/>
          <w:b/>
        </w:rPr>
        <w:t>lles ou réelles dudit règlement ;</w:t>
      </w:r>
      <w:r w:rsidRPr="00CB3136">
        <w:rPr>
          <w:rFonts w:ascii="Arial" w:eastAsia="Times New Roman" w:hAnsi="Arial" w:cs="Arial"/>
          <w:b/>
        </w:rPr>
        <w:t xml:space="preserve"> </w:t>
      </w:r>
    </w:p>
    <w:p w:rsidR="005F3A00" w:rsidRDefault="005F3A00" w:rsidP="00C0013A">
      <w:pPr>
        <w:keepNext/>
        <w:keepLines/>
        <w:numPr>
          <w:ilvl w:val="0"/>
          <w:numId w:val="1"/>
        </w:numPr>
        <w:spacing w:after="0" w:line="240" w:lineRule="auto"/>
        <w:ind w:left="284" w:hanging="284"/>
        <w:jc w:val="both"/>
        <w:rPr>
          <w:rFonts w:ascii="Arial" w:eastAsia="Times New Roman" w:hAnsi="Arial" w:cs="Arial"/>
          <w:b/>
        </w:rPr>
      </w:pPr>
      <w:r w:rsidRPr="00CB3136">
        <w:rPr>
          <w:rFonts w:ascii="Arial" w:eastAsia="Times New Roman" w:hAnsi="Arial" w:cs="Arial"/>
          <w:b/>
        </w:rPr>
        <w:t>modification de la loi modifiée du 11 janvier 2008 relative aux obligations de transparence des émetteurs</w:t>
      </w:r>
      <w:r w:rsidR="00FC0B74">
        <w:rPr>
          <w:rFonts w:ascii="Arial" w:eastAsia="Times New Roman" w:hAnsi="Arial" w:cs="Arial"/>
          <w:b/>
        </w:rPr>
        <w:t> ;</w:t>
      </w:r>
      <w:r w:rsidRPr="00CB3136">
        <w:rPr>
          <w:rFonts w:ascii="Arial" w:eastAsia="Times New Roman" w:hAnsi="Arial" w:cs="Arial"/>
          <w:b/>
        </w:rPr>
        <w:t xml:space="preserve"> et</w:t>
      </w:r>
    </w:p>
    <w:p w:rsidR="005F3A00" w:rsidRPr="00CB3136" w:rsidRDefault="005F3A00" w:rsidP="00C0013A">
      <w:pPr>
        <w:keepNext/>
        <w:keepLines/>
        <w:numPr>
          <w:ilvl w:val="0"/>
          <w:numId w:val="1"/>
        </w:numPr>
        <w:spacing w:after="0" w:line="240" w:lineRule="auto"/>
        <w:ind w:left="284" w:hanging="284"/>
        <w:jc w:val="both"/>
        <w:rPr>
          <w:rFonts w:ascii="Arial" w:eastAsia="Times New Roman" w:hAnsi="Arial" w:cs="Arial"/>
          <w:b/>
        </w:rPr>
      </w:pPr>
      <w:hyperlink w:anchor="_Chapitre_xxx._–" w:history="1">
        <w:r w:rsidRPr="00CB3136">
          <w:rPr>
            <w:rFonts w:ascii="Arial" w:eastAsia="Times New Roman" w:hAnsi="Arial" w:cs="Arial"/>
            <w:b/>
          </w:rPr>
          <w:t>abrogation</w:t>
        </w:r>
      </w:hyperlink>
      <w:r w:rsidRPr="00CB3136">
        <w:rPr>
          <w:rFonts w:ascii="Arial" w:eastAsia="Times New Roman" w:hAnsi="Arial" w:cs="Arial"/>
          <w:b/>
        </w:rPr>
        <w:t xml:space="preserve"> de la loi modifiée du 9 mai 2006 relative aux abus de marché.</w:t>
      </w:r>
    </w:p>
    <w:p w:rsidR="0002273C" w:rsidRPr="00A9223E" w:rsidRDefault="0002273C" w:rsidP="00A9223E">
      <w:pPr>
        <w:pStyle w:val="Body"/>
        <w:widowControl w:val="0"/>
        <w:tabs>
          <w:tab w:val="num" w:pos="284"/>
        </w:tabs>
        <w:jc w:val="both"/>
        <w:rPr>
          <w:rFonts w:ascii="Arial" w:hAnsi="Arial" w:cs="Arial"/>
          <w:color w:val="auto"/>
          <w:sz w:val="22"/>
          <w:szCs w:val="22"/>
        </w:rPr>
      </w:pPr>
    </w:p>
    <w:p w:rsidR="00260860" w:rsidRPr="00A9223E" w:rsidRDefault="009700E6" w:rsidP="009700E6">
      <w:pPr>
        <w:widowControl w:val="0"/>
        <w:autoSpaceDE w:val="0"/>
        <w:autoSpaceDN w:val="0"/>
        <w:adjustRightInd w:val="0"/>
        <w:spacing w:after="0" w:line="240" w:lineRule="auto"/>
        <w:jc w:val="both"/>
        <w:rPr>
          <w:rFonts w:ascii="Arial" w:hAnsi="Arial" w:cs="Arial"/>
          <w:lang w:val="fr-FR"/>
        </w:rPr>
      </w:pPr>
      <w:r>
        <w:rPr>
          <w:rFonts w:ascii="Arial" w:hAnsi="Arial" w:cs="Arial"/>
          <w:lang w:val="fr-FR"/>
        </w:rPr>
        <w:t>L</w:t>
      </w:r>
      <w:r w:rsidR="00260860" w:rsidRPr="00A9223E">
        <w:rPr>
          <w:rFonts w:ascii="Arial" w:hAnsi="Arial" w:cs="Arial"/>
          <w:lang w:val="fr-FR"/>
        </w:rPr>
        <w:t xml:space="preserve">e règlement (UE) n°596/2014 du Parlement européen et du Conseil </w:t>
      </w:r>
      <w:r w:rsidR="00260860" w:rsidRPr="00A9223E">
        <w:rPr>
          <w:rFonts w:ascii="Arial" w:hAnsi="Arial" w:cs="Arial"/>
          <w:bCs/>
          <w:lang w:val="fr-FR"/>
        </w:rPr>
        <w:t xml:space="preserve">du 16 avril 2014 sur les abus de marché (règlement relatif aux abus de marché) et abrogeant la directive 2003/6/CE du Parlement européen et du Conseil et les directives 2003/124/CE, 2003/125/CE et 2004/72/CE de la Commission, </w:t>
      </w:r>
      <w:r w:rsidR="00260860" w:rsidRPr="00A9223E">
        <w:rPr>
          <w:rFonts w:ascii="Arial" w:hAnsi="Arial" w:cs="Arial"/>
          <w:lang w:val="fr-FR"/>
        </w:rPr>
        <w:t xml:space="preserve">dénommé ci-après </w:t>
      </w:r>
      <w:r w:rsidR="00FC0B74">
        <w:rPr>
          <w:rFonts w:ascii="Arial" w:hAnsi="Arial" w:cs="Arial"/>
          <w:lang w:val="fr-FR"/>
        </w:rPr>
        <w:t>« </w:t>
      </w:r>
      <w:r w:rsidR="00260860" w:rsidRPr="00A9223E">
        <w:rPr>
          <w:rFonts w:ascii="Arial" w:hAnsi="Arial" w:cs="Arial"/>
          <w:b/>
          <w:lang w:val="fr-FR"/>
        </w:rPr>
        <w:t>règlement (UE) n°596/2014</w:t>
      </w:r>
      <w:r w:rsidR="00FC0B74">
        <w:rPr>
          <w:rFonts w:ascii="Arial" w:hAnsi="Arial" w:cs="Arial"/>
          <w:lang w:val="fr-FR"/>
        </w:rPr>
        <w:t> »</w:t>
      </w:r>
      <w:r w:rsidR="00260860" w:rsidRPr="00A9223E">
        <w:rPr>
          <w:rFonts w:ascii="Arial" w:hAnsi="Arial" w:cs="Arial"/>
          <w:lang w:val="fr-FR"/>
        </w:rPr>
        <w:t>, et</w:t>
      </w:r>
    </w:p>
    <w:p w:rsidR="009700E6" w:rsidRDefault="009700E6" w:rsidP="009700E6">
      <w:pPr>
        <w:widowControl w:val="0"/>
        <w:autoSpaceDE w:val="0"/>
        <w:autoSpaceDN w:val="0"/>
        <w:adjustRightInd w:val="0"/>
        <w:spacing w:after="0" w:line="240" w:lineRule="auto"/>
        <w:jc w:val="both"/>
        <w:rPr>
          <w:rFonts w:ascii="Arial" w:hAnsi="Arial" w:cs="Arial"/>
          <w:lang w:val="fr-FR"/>
        </w:rPr>
      </w:pPr>
    </w:p>
    <w:p w:rsidR="00260860" w:rsidRPr="00A9223E" w:rsidRDefault="00260860" w:rsidP="009700E6">
      <w:pPr>
        <w:widowControl w:val="0"/>
        <w:autoSpaceDE w:val="0"/>
        <w:autoSpaceDN w:val="0"/>
        <w:adjustRightInd w:val="0"/>
        <w:spacing w:after="0" w:line="240" w:lineRule="auto"/>
        <w:jc w:val="both"/>
        <w:rPr>
          <w:rFonts w:ascii="Arial" w:hAnsi="Arial" w:cs="Arial"/>
          <w:lang w:val="fr-FR"/>
        </w:rPr>
      </w:pPr>
      <w:r w:rsidRPr="00A9223E">
        <w:rPr>
          <w:rFonts w:ascii="Arial" w:hAnsi="Arial" w:cs="Arial"/>
          <w:lang w:val="fr-FR"/>
        </w:rPr>
        <w:t xml:space="preserve">la directive 2014/57/UE du Parlement européen et du Conseil du 16 avril 2014 relative aux sanctions pénales applicables aux abus de marché (directive relative aux abus de marché), dénommée ci-après « </w:t>
      </w:r>
      <w:r w:rsidRPr="00A9223E">
        <w:rPr>
          <w:rFonts w:ascii="Arial" w:hAnsi="Arial" w:cs="Arial"/>
          <w:b/>
          <w:lang w:val="fr-FR"/>
        </w:rPr>
        <w:t>directive 2014/57/UE</w:t>
      </w:r>
      <w:r w:rsidRPr="00A9223E">
        <w:rPr>
          <w:rFonts w:ascii="Arial" w:hAnsi="Arial" w:cs="Arial"/>
          <w:lang w:val="fr-FR"/>
        </w:rPr>
        <w:t xml:space="preserve"> »</w:t>
      </w:r>
    </w:p>
    <w:p w:rsidR="009700E6" w:rsidRDefault="009700E6" w:rsidP="003F1531">
      <w:pPr>
        <w:widowControl w:val="0"/>
        <w:autoSpaceDE w:val="0"/>
        <w:autoSpaceDN w:val="0"/>
        <w:adjustRightInd w:val="0"/>
        <w:spacing w:after="240" w:line="240" w:lineRule="auto"/>
        <w:jc w:val="both"/>
        <w:rPr>
          <w:rFonts w:ascii="Arial" w:hAnsi="Arial" w:cs="Arial"/>
          <w:lang w:val="fr-FR"/>
        </w:rPr>
      </w:pPr>
    </w:p>
    <w:p w:rsidR="003F1531" w:rsidRPr="00A9223E" w:rsidRDefault="00260860" w:rsidP="003F1531">
      <w:pPr>
        <w:widowControl w:val="0"/>
        <w:autoSpaceDE w:val="0"/>
        <w:autoSpaceDN w:val="0"/>
        <w:adjustRightInd w:val="0"/>
        <w:spacing w:after="240" w:line="240" w:lineRule="auto"/>
        <w:jc w:val="both"/>
        <w:rPr>
          <w:rFonts w:ascii="Arial" w:hAnsi="Arial" w:cs="Arial"/>
          <w:lang w:val="fr-FR"/>
        </w:rPr>
      </w:pPr>
      <w:r w:rsidRPr="00A9223E">
        <w:rPr>
          <w:rFonts w:ascii="Arial" w:hAnsi="Arial" w:cs="Arial"/>
          <w:lang w:val="fr-FR"/>
        </w:rPr>
        <w:t xml:space="preserve">se trouvent à la base du nouveau régime </w:t>
      </w:r>
      <w:r w:rsidR="00C0013A">
        <w:rPr>
          <w:rFonts w:ascii="Arial" w:hAnsi="Arial" w:cs="Arial"/>
          <w:lang w:val="fr-FR"/>
        </w:rPr>
        <w:t xml:space="preserve">relatif aux </w:t>
      </w:r>
      <w:r w:rsidRPr="00A9223E">
        <w:rPr>
          <w:rFonts w:ascii="Arial" w:hAnsi="Arial" w:cs="Arial"/>
          <w:lang w:val="fr-FR"/>
        </w:rPr>
        <w:t>abus de marché qui remplace le régime précédemment mis en place par la directive 2003/6/CE du Parlement européen et du Conseil du 28 janvier 2003 sur les opérations d'initiés et les manipulations de marché (abus de marché), dénommée ci-</w:t>
      </w:r>
      <w:r w:rsidR="00FC0B74">
        <w:rPr>
          <w:rFonts w:ascii="Arial" w:hAnsi="Arial" w:cs="Arial"/>
          <w:lang w:val="fr-FR"/>
        </w:rPr>
        <w:t>après « </w:t>
      </w:r>
      <w:r w:rsidRPr="009533FB">
        <w:rPr>
          <w:rFonts w:ascii="Arial" w:hAnsi="Arial" w:cs="Arial"/>
          <w:lang w:val="fr-FR"/>
        </w:rPr>
        <w:t>directive 2003/6/CE</w:t>
      </w:r>
      <w:r w:rsidR="00FC0B74">
        <w:rPr>
          <w:rFonts w:ascii="Arial" w:hAnsi="Arial" w:cs="Arial"/>
          <w:lang w:val="fr-FR"/>
        </w:rPr>
        <w:t> »</w:t>
      </w:r>
      <w:r w:rsidRPr="009533FB">
        <w:rPr>
          <w:rFonts w:ascii="Arial" w:hAnsi="Arial" w:cs="Arial"/>
          <w:lang w:val="fr-FR"/>
        </w:rPr>
        <w:t>.</w:t>
      </w:r>
      <w:r w:rsidR="003F1531" w:rsidRPr="009533FB">
        <w:rPr>
          <w:rFonts w:ascii="Arial" w:hAnsi="Arial" w:cs="Arial"/>
          <w:lang w:val="fr-FR"/>
        </w:rPr>
        <w:t xml:space="preserve"> Au</w:t>
      </w:r>
      <w:r w:rsidR="003F1531" w:rsidRPr="00A9223E">
        <w:rPr>
          <w:rFonts w:ascii="Arial" w:hAnsi="Arial" w:cs="Arial"/>
          <w:lang w:val="fr-FR"/>
        </w:rPr>
        <w:t xml:space="preserve"> Luxembourg, la directive 2003/6/CE a été transposée en 2006 par la loi du 9 mai 2006 relative aux abus de marché, dénommée ci-après </w:t>
      </w:r>
      <w:r w:rsidR="00FC0B74">
        <w:rPr>
          <w:rFonts w:ascii="Arial" w:hAnsi="Arial" w:cs="Arial"/>
          <w:lang w:val="fr-FR"/>
        </w:rPr>
        <w:t>« </w:t>
      </w:r>
      <w:r w:rsidR="003F1531" w:rsidRPr="00A9223E">
        <w:rPr>
          <w:rFonts w:ascii="Arial" w:hAnsi="Arial" w:cs="Arial"/>
          <w:b/>
          <w:lang w:val="fr-FR"/>
        </w:rPr>
        <w:t>loi modifiée du 9 mai 2006</w:t>
      </w:r>
      <w:r w:rsidR="00FC0B74">
        <w:rPr>
          <w:rFonts w:ascii="Arial" w:hAnsi="Arial" w:cs="Arial"/>
          <w:lang w:val="fr-FR"/>
        </w:rPr>
        <w:t> »</w:t>
      </w:r>
      <w:r w:rsidR="003F1531" w:rsidRPr="00A9223E">
        <w:rPr>
          <w:rFonts w:ascii="Arial" w:hAnsi="Arial" w:cs="Arial"/>
          <w:lang w:val="fr-FR"/>
        </w:rPr>
        <w:t>.</w:t>
      </w:r>
      <w:r w:rsidR="003F1531" w:rsidRPr="00840439">
        <w:rPr>
          <w:rFonts w:ascii="Helvetica" w:hAnsi="Helvetica" w:cs="Helvetica"/>
          <w:sz w:val="29"/>
          <w:szCs w:val="29"/>
        </w:rPr>
        <w:t xml:space="preserve"> </w:t>
      </w:r>
    </w:p>
    <w:p w:rsidR="00927465" w:rsidRPr="00A9223E" w:rsidRDefault="00194B6A" w:rsidP="0010246A">
      <w:pPr>
        <w:widowControl w:val="0"/>
        <w:tabs>
          <w:tab w:val="left" w:pos="220"/>
          <w:tab w:val="left" w:pos="720"/>
        </w:tabs>
        <w:autoSpaceDE w:val="0"/>
        <w:autoSpaceDN w:val="0"/>
        <w:adjustRightInd w:val="0"/>
        <w:spacing w:after="240" w:line="240" w:lineRule="auto"/>
        <w:jc w:val="both"/>
        <w:rPr>
          <w:rFonts w:ascii="Arial" w:hAnsi="Arial" w:cs="Arial"/>
          <w:lang w:val="fr-FR"/>
        </w:rPr>
      </w:pPr>
      <w:r w:rsidRPr="00A9223E">
        <w:rPr>
          <w:rFonts w:ascii="Arial" w:hAnsi="Arial" w:cs="Arial"/>
          <w:lang w:val="fr-FR"/>
        </w:rPr>
        <w:t xml:space="preserve">Ce nouveau régime était </w:t>
      </w:r>
      <w:r w:rsidR="0010246A" w:rsidRPr="00A9223E">
        <w:rPr>
          <w:rFonts w:ascii="Arial" w:hAnsi="Arial" w:cs="Arial"/>
          <w:lang w:val="fr-FR"/>
        </w:rPr>
        <w:t>nécessaire</w:t>
      </w:r>
      <w:r w:rsidRPr="00A9223E">
        <w:rPr>
          <w:rFonts w:ascii="Arial" w:hAnsi="Arial" w:cs="Arial"/>
          <w:lang w:val="fr-FR"/>
        </w:rPr>
        <w:t xml:space="preserve"> au vu des changements législatifs, de l’évolution du marché et des évolutions technologiques intervenus, lesquels ont considérablement modifié le paysage financier. </w:t>
      </w:r>
      <w:r w:rsidR="000B0989">
        <w:rPr>
          <w:rFonts w:ascii="Arial" w:hAnsi="Arial" w:cs="Arial"/>
          <w:lang w:val="fr-FR"/>
        </w:rPr>
        <w:t xml:space="preserve">Son </w:t>
      </w:r>
      <w:r w:rsidR="0010246A" w:rsidRPr="00A9223E">
        <w:rPr>
          <w:rFonts w:ascii="Arial" w:hAnsi="Arial" w:cs="Arial"/>
          <w:lang w:val="fr-FR"/>
        </w:rPr>
        <w:t xml:space="preserve">objectif est également de </w:t>
      </w:r>
      <w:r w:rsidRPr="00A9223E">
        <w:rPr>
          <w:rFonts w:ascii="Arial" w:hAnsi="Arial" w:cs="Arial"/>
          <w:lang w:val="fr-FR"/>
        </w:rPr>
        <w:t>garantir l’uniformité des règles et la clarté des principaux concepts employés</w:t>
      </w:r>
      <w:r w:rsidR="00927465" w:rsidRPr="00A9223E">
        <w:rPr>
          <w:rFonts w:ascii="Arial" w:hAnsi="Arial" w:cs="Arial"/>
          <w:lang w:val="fr-FR"/>
        </w:rPr>
        <w:t>.</w:t>
      </w:r>
    </w:p>
    <w:p w:rsidR="00194B6A" w:rsidRPr="00A9223E" w:rsidRDefault="00194B6A" w:rsidP="0010246A">
      <w:pPr>
        <w:widowControl w:val="0"/>
        <w:tabs>
          <w:tab w:val="left" w:pos="220"/>
          <w:tab w:val="left" w:pos="720"/>
        </w:tabs>
        <w:autoSpaceDE w:val="0"/>
        <w:autoSpaceDN w:val="0"/>
        <w:adjustRightInd w:val="0"/>
        <w:spacing w:after="240" w:line="240" w:lineRule="auto"/>
        <w:jc w:val="both"/>
        <w:rPr>
          <w:rFonts w:ascii="Arial" w:hAnsi="Arial" w:cs="Arial"/>
          <w:lang w:val="fr-FR"/>
        </w:rPr>
      </w:pPr>
      <w:r w:rsidRPr="00A9223E">
        <w:rPr>
          <w:rFonts w:ascii="Arial" w:hAnsi="Arial" w:cs="Arial"/>
          <w:b/>
          <w:lang w:val="fr-FR"/>
        </w:rPr>
        <w:t>Le règlement (UE) n°596/2014</w:t>
      </w:r>
    </w:p>
    <w:p w:rsidR="0010246A" w:rsidRPr="00A9223E" w:rsidRDefault="00A749B4" w:rsidP="0010246A">
      <w:pPr>
        <w:widowControl w:val="0"/>
        <w:autoSpaceDE w:val="0"/>
        <w:autoSpaceDN w:val="0"/>
        <w:adjustRightInd w:val="0"/>
        <w:spacing w:after="240" w:line="240" w:lineRule="auto"/>
        <w:jc w:val="both"/>
        <w:rPr>
          <w:rFonts w:ascii="Arial" w:hAnsi="Arial" w:cs="Arial"/>
          <w:lang w:val="fr-FR"/>
        </w:rPr>
      </w:pPr>
      <w:r>
        <w:rPr>
          <w:rFonts w:ascii="Arial" w:hAnsi="Arial" w:cs="Arial"/>
          <w:lang w:val="fr-FR"/>
        </w:rPr>
        <w:t>Bien qu’il</w:t>
      </w:r>
      <w:r w:rsidR="00194B6A" w:rsidRPr="00A9223E">
        <w:rPr>
          <w:rFonts w:ascii="Arial" w:hAnsi="Arial" w:cs="Arial"/>
          <w:lang w:val="fr-FR"/>
        </w:rPr>
        <w:t xml:space="preserve"> soit, en vertu de l'article 288 du Traité sur le fonctionnement de l'Union europ</w:t>
      </w:r>
      <w:r>
        <w:rPr>
          <w:rFonts w:ascii="Arial" w:hAnsi="Arial" w:cs="Arial"/>
          <w:lang w:val="fr-FR"/>
        </w:rPr>
        <w:t>éenne, d'application directe, ce règlement</w:t>
      </w:r>
      <w:r w:rsidR="00194B6A" w:rsidRPr="00A9223E">
        <w:rPr>
          <w:rFonts w:ascii="Arial" w:hAnsi="Arial" w:cs="Arial"/>
          <w:lang w:val="fr-FR"/>
        </w:rPr>
        <w:t xml:space="preserve"> nécessite l'adoption de mesures supplémentaires au niveau national afin d'assurer son application. En effet, l'article 39, paragraphe 3, impose expressément aux Etats membres de prendre les mesures nécessaires afin de se conformer aux articles 22 (autorités compétentes), 23 (pouvoirs des autorités compétentes), 30 (sanctions administratives et autres mesures administratives), 31, paragraphe 1</w:t>
      </w:r>
      <w:r w:rsidR="00194B6A" w:rsidRPr="00A9223E">
        <w:rPr>
          <w:rFonts w:ascii="Arial" w:hAnsi="Arial" w:cs="Arial"/>
          <w:vertAlign w:val="superscript"/>
          <w:lang w:val="fr-FR"/>
        </w:rPr>
        <w:t>er</w:t>
      </w:r>
      <w:r w:rsidR="00194B6A" w:rsidRPr="00A9223E">
        <w:rPr>
          <w:rFonts w:ascii="Arial" w:hAnsi="Arial" w:cs="Arial"/>
          <w:lang w:val="fr-FR"/>
        </w:rPr>
        <w:t xml:space="preserve"> (exercice des pouvoirs de surveillance et de sanction), 32 (signalement des violations) et 34 (publication des décisions). </w:t>
      </w:r>
    </w:p>
    <w:p w:rsidR="00927465" w:rsidRPr="00A9223E" w:rsidRDefault="0010246A" w:rsidP="00927465">
      <w:pPr>
        <w:widowControl w:val="0"/>
        <w:autoSpaceDE w:val="0"/>
        <w:autoSpaceDN w:val="0"/>
        <w:adjustRightInd w:val="0"/>
        <w:spacing w:after="240" w:line="240" w:lineRule="auto"/>
        <w:jc w:val="both"/>
        <w:rPr>
          <w:rFonts w:ascii="Arial" w:hAnsi="Arial" w:cs="Arial"/>
          <w:lang w:val="fr-FR"/>
        </w:rPr>
      </w:pPr>
      <w:r w:rsidRPr="00A9223E">
        <w:rPr>
          <w:rFonts w:ascii="Arial" w:hAnsi="Arial" w:cs="Arial"/>
          <w:lang w:val="fr-FR"/>
        </w:rPr>
        <w:t xml:space="preserve">Le nouveau régime abus de marché introduit un champ d'application plus large, plus adapté aux produits développés ces dernières années (systèmes multilatéraux de négociation (MTF) et futurs systèmes organisés de négociation (OTF), quotas d'émission et instruments y afférents). A la suite du scandale du LIBOR, il a par ailleurs été décidé de rendre certaines dispositions du nouveau régime abus de marché applicables aux indices de référence. Le </w:t>
      </w:r>
      <w:r w:rsidRPr="00A9223E">
        <w:rPr>
          <w:rFonts w:ascii="Arial" w:hAnsi="Arial" w:cs="Arial"/>
          <w:lang w:val="fr-FR"/>
        </w:rPr>
        <w:lastRenderedPageBreak/>
        <w:t xml:space="preserve">nouveau régime vise également à lutter contre les abus de marché croisés sur les marchés dérivés de matières premières et les marchés physiques sous-jacents. Enfin le règlement cherche à harmoniser les pouvoirs des autorités administratives qui sont en charge de surveiller, de détecter et d'enquêter sur les abus de marché dans les </w:t>
      </w:r>
      <w:r w:rsidR="004B7819" w:rsidRPr="00A9223E">
        <w:rPr>
          <w:rFonts w:ascii="Arial" w:hAnsi="Arial" w:cs="Arial"/>
          <w:lang w:val="fr-FR"/>
        </w:rPr>
        <w:t>Etats membres et les sanctions.</w:t>
      </w:r>
    </w:p>
    <w:p w:rsidR="0002273C" w:rsidRPr="00A9223E" w:rsidRDefault="00194B6A" w:rsidP="00927465">
      <w:pPr>
        <w:widowControl w:val="0"/>
        <w:autoSpaceDE w:val="0"/>
        <w:autoSpaceDN w:val="0"/>
        <w:adjustRightInd w:val="0"/>
        <w:spacing w:after="240" w:line="240" w:lineRule="auto"/>
        <w:jc w:val="both"/>
        <w:rPr>
          <w:rFonts w:ascii="Arial" w:hAnsi="Arial" w:cs="Arial"/>
          <w:lang w:val="fr-FR"/>
        </w:rPr>
      </w:pPr>
      <w:r w:rsidRPr="00A9223E">
        <w:rPr>
          <w:rFonts w:ascii="Arial" w:hAnsi="Arial" w:cs="Arial"/>
          <w:b/>
        </w:rPr>
        <w:t>La directive 2014/57/UE</w:t>
      </w:r>
    </w:p>
    <w:p w:rsidR="003F1531" w:rsidRPr="00A9223E" w:rsidRDefault="003F1531" w:rsidP="003F1531">
      <w:pPr>
        <w:widowControl w:val="0"/>
        <w:autoSpaceDE w:val="0"/>
        <w:autoSpaceDN w:val="0"/>
        <w:adjustRightInd w:val="0"/>
        <w:spacing w:after="240" w:line="240" w:lineRule="auto"/>
        <w:jc w:val="both"/>
        <w:rPr>
          <w:rFonts w:ascii="Arial" w:hAnsi="Arial" w:cs="Arial"/>
          <w:lang w:val="fr-FR"/>
        </w:rPr>
      </w:pPr>
      <w:r w:rsidRPr="00A9223E">
        <w:rPr>
          <w:rFonts w:ascii="Arial" w:hAnsi="Arial" w:cs="Arial"/>
          <w:lang w:val="fr-FR"/>
        </w:rPr>
        <w:t xml:space="preserve">La directive exige des Etats membres qu'ils prévoient des sanctions pénales pour les cas graves d'abus de marché. Contrairement aux directives actuelles qui se contentaient d'exiger des Etats membres de prévoir des sanctions effectives, proportionnées et dissuasives sans définir les éléments constitutifs d'infractions pénales ou de déterminer la nature des sanctions pénales, la directive 2014/57/UE définit de façon détaillée les infractions d'abus de marché et fixe également la nature des sanctions pénales que les Etats membres devront mettre en place. </w:t>
      </w:r>
    </w:p>
    <w:p w:rsidR="00532502" w:rsidRPr="00A9223E" w:rsidRDefault="003F1531" w:rsidP="00DD19DA">
      <w:pPr>
        <w:widowControl w:val="0"/>
        <w:autoSpaceDE w:val="0"/>
        <w:autoSpaceDN w:val="0"/>
        <w:adjustRightInd w:val="0"/>
        <w:spacing w:after="240" w:line="240" w:lineRule="auto"/>
        <w:jc w:val="both"/>
        <w:rPr>
          <w:rFonts w:ascii="Arial" w:eastAsia="Times New Roman" w:hAnsi="Arial" w:cs="Arial"/>
          <w:lang w:val="fr-FR"/>
        </w:rPr>
      </w:pPr>
      <w:r w:rsidRPr="00A9223E">
        <w:rPr>
          <w:rFonts w:ascii="Arial" w:hAnsi="Arial" w:cs="Arial"/>
          <w:lang w:val="fr-FR"/>
        </w:rPr>
        <w:t xml:space="preserve">Sous le nouveau régime abus de marché, les sanctions pénales coexisteront dans les Etats membres avec les sanctions administratives. Afin d'éviter qu'une personne ne soit poursuivie ou condamnée deux fois pour les mêmes faits, le présent projet de loi reprend sans changement substantiel le mécanisme figurant à l'article 33, paragraphe 4, de la loi modifiée du 9 mai 2006, qui a fait ses preuves. Ce mécanisme vise à préserver le principe </w:t>
      </w:r>
      <w:r w:rsidR="0070676D" w:rsidRPr="00A9223E">
        <w:rPr>
          <w:rFonts w:ascii="Arial" w:hAnsi="Arial" w:cs="Arial"/>
          <w:i/>
          <w:lang w:val="fr-FR"/>
        </w:rPr>
        <w:t>ne bis i</w:t>
      </w:r>
      <w:r w:rsidRPr="00A9223E">
        <w:rPr>
          <w:rFonts w:ascii="Arial" w:hAnsi="Arial" w:cs="Arial"/>
          <w:i/>
          <w:lang w:val="fr-FR"/>
        </w:rPr>
        <w:t>n idem</w:t>
      </w:r>
      <w:r w:rsidRPr="00A9223E">
        <w:rPr>
          <w:rFonts w:ascii="Arial" w:hAnsi="Arial" w:cs="Arial"/>
          <w:lang w:val="fr-FR"/>
        </w:rPr>
        <w:t xml:space="preserve"> en instaurant une procédure de consultation obligatoire entre la Commission de surveillance du secteur financier et le Procureur d'Etat et en disposant que si l'une des deux autorités procède, l'autre ne procède pas. Il a été introduit en 2010 dans la loi du 9 mai 2006 relative aux abus de marché, suite aux critiques de la Commission européenne relatives à la transposition jugée incomplète de la directive 2003/6/CE en droit luxembourgeois et afin de contrer les problèmes soulevés par le Conseil d'Etat au moment de l'adoption de la loi du 9 mai 2006 relative aux abus de marché dans ses avis du 15 novembre 2005 et du 7 mars 2006.</w:t>
      </w:r>
    </w:p>
    <w:p w:rsidR="00532502" w:rsidRPr="00A9223E" w:rsidRDefault="00532502" w:rsidP="00DD19DA">
      <w:pPr>
        <w:widowControl w:val="0"/>
        <w:autoSpaceDE w:val="0"/>
        <w:autoSpaceDN w:val="0"/>
        <w:adjustRightInd w:val="0"/>
        <w:spacing w:after="240" w:line="240" w:lineRule="auto"/>
        <w:jc w:val="both"/>
        <w:rPr>
          <w:rFonts w:ascii="Arial" w:eastAsia="Times New Roman" w:hAnsi="Arial" w:cs="Arial"/>
          <w:lang w:val="fr-FR"/>
        </w:rPr>
      </w:pPr>
      <w:r w:rsidRPr="00A9223E">
        <w:rPr>
          <w:rFonts w:ascii="Arial" w:hAnsi="Arial" w:cs="Arial"/>
          <w:b/>
          <w:bCs/>
          <w:iCs/>
          <w:lang w:val="fr-FR"/>
        </w:rPr>
        <w:t>La directive d'exécution (UE) 2015/2392</w:t>
      </w:r>
      <w:r w:rsidRPr="00A9223E">
        <w:rPr>
          <w:rFonts w:ascii="Arial" w:hAnsi="Arial" w:cs="Arial"/>
          <w:lang w:val="fr-FR"/>
        </w:rPr>
        <w:t xml:space="preserve"> </w:t>
      </w:r>
    </w:p>
    <w:p w:rsidR="00A749B4" w:rsidRPr="009533FB" w:rsidRDefault="00532502" w:rsidP="00DD19DA">
      <w:pPr>
        <w:widowControl w:val="0"/>
        <w:autoSpaceDE w:val="0"/>
        <w:autoSpaceDN w:val="0"/>
        <w:adjustRightInd w:val="0"/>
        <w:spacing w:after="240" w:line="240" w:lineRule="auto"/>
        <w:jc w:val="both"/>
        <w:rPr>
          <w:rFonts w:ascii="Arial" w:hAnsi="Arial" w:cs="Arial"/>
          <w:lang w:val="fr-FR"/>
        </w:rPr>
      </w:pPr>
      <w:r w:rsidRPr="00A9223E">
        <w:rPr>
          <w:rFonts w:ascii="Arial" w:hAnsi="Arial" w:cs="Arial"/>
          <w:lang w:val="fr-FR"/>
        </w:rPr>
        <w:t xml:space="preserve">Le nouveau régime abus de marché mis en place par le règlement (UE) n°596/2014 et la directive 2014/57/UE est complété par une série d'actes délégués et de normes techniques d'exécution et de réglementation adoptés au niveau de l'Union européenne. La directive </w:t>
      </w:r>
      <w:r w:rsidRPr="009533FB">
        <w:rPr>
          <w:rFonts w:ascii="Arial" w:hAnsi="Arial" w:cs="Arial"/>
          <w:lang w:val="fr-FR"/>
        </w:rPr>
        <w:t xml:space="preserve">d'exécution (UE) 2015/2392 a pour objet de préciser les procédures que les autorités compétentes des Etats membres doivent mettre en place aux termes de l'article 32 du règlement (UE) n°596/2014 pour le signalement des violations potentielles ou réelles dudit règlement. Il a été décidé de transposer la directive d'exécution dans une annexe à la future loi. </w:t>
      </w:r>
    </w:p>
    <w:p w:rsidR="009533FB" w:rsidRPr="009533FB" w:rsidRDefault="00A749B4" w:rsidP="00DD19DA">
      <w:pPr>
        <w:widowControl w:val="0"/>
        <w:autoSpaceDE w:val="0"/>
        <w:autoSpaceDN w:val="0"/>
        <w:adjustRightInd w:val="0"/>
        <w:spacing w:after="0" w:line="240" w:lineRule="auto"/>
        <w:jc w:val="both"/>
        <w:rPr>
          <w:rFonts w:ascii="Arial" w:eastAsia="Times New Roman" w:hAnsi="Arial" w:cs="Arial"/>
          <w:b/>
          <w:lang w:val="fr-FR"/>
        </w:rPr>
      </w:pPr>
      <w:r w:rsidRPr="009533FB">
        <w:rPr>
          <w:rFonts w:ascii="Arial" w:hAnsi="Arial" w:cs="Arial"/>
          <w:b/>
          <w:lang w:val="fr-FR"/>
        </w:rPr>
        <w:t>La</w:t>
      </w:r>
      <w:r w:rsidRPr="009533FB">
        <w:rPr>
          <w:rFonts w:ascii="Arial" w:eastAsia="Times New Roman" w:hAnsi="Arial" w:cs="Arial"/>
          <w:b/>
          <w:lang w:val="fr-FR"/>
        </w:rPr>
        <w:t xml:space="preserve"> loi modifiée du 9 mai 2006 </w:t>
      </w:r>
    </w:p>
    <w:p w:rsidR="009533FB" w:rsidRPr="009533FB" w:rsidRDefault="009533FB" w:rsidP="00DD19DA">
      <w:pPr>
        <w:widowControl w:val="0"/>
        <w:autoSpaceDE w:val="0"/>
        <w:autoSpaceDN w:val="0"/>
        <w:adjustRightInd w:val="0"/>
        <w:spacing w:after="0" w:line="240" w:lineRule="auto"/>
        <w:jc w:val="both"/>
        <w:rPr>
          <w:rFonts w:ascii="Arial" w:hAnsi="Arial" w:cs="Arial"/>
          <w:color w:val="000000"/>
          <w:lang w:val="fr-FR"/>
        </w:rPr>
      </w:pPr>
    </w:p>
    <w:p w:rsidR="009533FB" w:rsidRPr="009533FB" w:rsidRDefault="009533FB" w:rsidP="00DD19DA">
      <w:pPr>
        <w:widowControl w:val="0"/>
        <w:autoSpaceDE w:val="0"/>
        <w:autoSpaceDN w:val="0"/>
        <w:adjustRightInd w:val="0"/>
        <w:spacing w:after="0" w:line="240" w:lineRule="auto"/>
        <w:jc w:val="both"/>
        <w:rPr>
          <w:rFonts w:ascii="Arial" w:hAnsi="Arial" w:cs="Arial"/>
          <w:lang w:val="fr-FR"/>
        </w:rPr>
      </w:pPr>
      <w:r w:rsidRPr="009533FB">
        <w:rPr>
          <w:rFonts w:ascii="Arial" w:hAnsi="Arial" w:cs="Arial"/>
          <w:color w:val="000000"/>
          <w:lang w:val="fr-FR"/>
        </w:rPr>
        <w:t xml:space="preserve">En raison du nombre important de modifications à apporter à la législation existante en vue de la mise en </w:t>
      </w:r>
      <w:r w:rsidRPr="00A9223E">
        <w:rPr>
          <w:rFonts w:ascii="Arial" w:hAnsi="Arial" w:cs="Arial"/>
          <w:lang w:val="fr-FR"/>
        </w:rPr>
        <w:t>œuvre</w:t>
      </w:r>
      <w:r w:rsidRPr="009533FB">
        <w:rPr>
          <w:rFonts w:ascii="Arial" w:hAnsi="Arial" w:cs="Arial"/>
          <w:color w:val="000000"/>
          <w:lang w:val="fr-FR"/>
        </w:rPr>
        <w:t xml:space="preserve"> du règlement (UE) n° 596/2014 et de la transposition de la directive 2014/57/UE ainsi que de la directive d’exécution (UE) 2015/2392, les auteurs du projet de loi estiment préférable, pour des raisons de simplification et de lisibilité des dispositions, de remplacer la loi modifiée du 9 mai 2006 régissant actuellement la matière, par une nouvelle loi. Par conséquent, la loi modifiée du 9 mai 2006 précitée se trouve quant à elle abrogée par le projet de loi sous avis. </w:t>
      </w:r>
    </w:p>
    <w:p w:rsidR="009533FB" w:rsidRPr="009533FB" w:rsidRDefault="009533FB" w:rsidP="00DD19DA">
      <w:pPr>
        <w:widowControl w:val="0"/>
        <w:autoSpaceDE w:val="0"/>
        <w:autoSpaceDN w:val="0"/>
        <w:adjustRightInd w:val="0"/>
        <w:spacing w:after="0" w:line="240" w:lineRule="auto"/>
        <w:jc w:val="both"/>
        <w:rPr>
          <w:rFonts w:ascii="Arial" w:hAnsi="Arial" w:cs="Arial"/>
          <w:lang w:val="fr-FR"/>
        </w:rPr>
      </w:pPr>
    </w:p>
    <w:p w:rsidR="00CA576A" w:rsidRPr="00A9223E" w:rsidRDefault="009533FB" w:rsidP="00DD19DA">
      <w:pPr>
        <w:widowControl w:val="0"/>
        <w:autoSpaceDE w:val="0"/>
        <w:autoSpaceDN w:val="0"/>
        <w:adjustRightInd w:val="0"/>
        <w:spacing w:after="0" w:line="240" w:lineRule="auto"/>
        <w:jc w:val="both"/>
        <w:rPr>
          <w:rFonts w:ascii="Arial" w:eastAsia="Times New Roman" w:hAnsi="Arial" w:cs="Arial"/>
        </w:rPr>
      </w:pPr>
      <w:r w:rsidRPr="009533FB">
        <w:rPr>
          <w:rFonts w:ascii="Arial" w:hAnsi="Arial" w:cs="Arial"/>
          <w:lang w:val="fr-FR"/>
        </w:rPr>
        <w:t xml:space="preserve">Suite aux modifications mentionnées, il est également nécessaire de procéder à une série d’adaptations de </w:t>
      </w:r>
      <w:r w:rsidRPr="009533FB">
        <w:rPr>
          <w:rFonts w:ascii="Arial" w:hAnsi="Arial" w:cs="Arial"/>
          <w:b/>
          <w:lang w:val="fr-FR"/>
        </w:rPr>
        <w:t xml:space="preserve">la loi modifiée du 11 janvier 2008 </w:t>
      </w:r>
      <w:r w:rsidRPr="009533FB">
        <w:rPr>
          <w:rFonts w:ascii="Arial" w:hAnsi="Arial" w:cs="Arial"/>
          <w:lang w:val="fr-FR"/>
        </w:rPr>
        <w:t>relative aux obligations de transparence des émetteurs.</w:t>
      </w:r>
    </w:p>
    <w:p w:rsidR="00FC0B74" w:rsidRPr="00CB3136" w:rsidRDefault="00FC0B74" w:rsidP="00FC0B74">
      <w:pPr>
        <w:widowControl w:val="0"/>
        <w:autoSpaceDE w:val="0"/>
        <w:autoSpaceDN w:val="0"/>
        <w:adjustRightInd w:val="0"/>
        <w:spacing w:after="0" w:line="240" w:lineRule="auto"/>
        <w:rPr>
          <w:rFonts w:ascii="Arial" w:eastAsia="Times New Roman" w:hAnsi="Arial" w:cs="Arial"/>
          <w:color w:val="000000"/>
          <w:lang w:val="fr-FR" w:eastAsia="fr-FR"/>
        </w:rPr>
      </w:pPr>
    </w:p>
    <w:sectPr w:rsidR="00FC0B74" w:rsidRPr="00CB313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FFC" w:rsidRDefault="00004FFC" w:rsidP="00E74BAE">
      <w:pPr>
        <w:spacing w:after="0" w:line="240" w:lineRule="auto"/>
      </w:pPr>
      <w:r>
        <w:separator/>
      </w:r>
    </w:p>
  </w:endnote>
  <w:endnote w:type="continuationSeparator" w:id="0">
    <w:p w:rsidR="00004FFC" w:rsidRDefault="00004FFC" w:rsidP="00E74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B74" w:rsidRPr="00FC0B74" w:rsidRDefault="00FC0B74">
    <w:pPr>
      <w:pStyle w:val="Pieddepage"/>
      <w:jc w:val="center"/>
      <w:rPr>
        <w:rFonts w:ascii="Arial" w:hAnsi="Arial" w:cs="Arial"/>
        <w:sz w:val="20"/>
        <w:szCs w:val="20"/>
      </w:rPr>
    </w:pPr>
    <w:r w:rsidRPr="00FC0B74">
      <w:rPr>
        <w:rFonts w:ascii="Arial" w:hAnsi="Arial" w:cs="Arial"/>
        <w:sz w:val="20"/>
        <w:szCs w:val="20"/>
      </w:rPr>
      <w:fldChar w:fldCharType="begin"/>
    </w:r>
    <w:r w:rsidRPr="00FC0B74">
      <w:rPr>
        <w:rFonts w:ascii="Arial" w:hAnsi="Arial" w:cs="Arial"/>
        <w:sz w:val="20"/>
        <w:szCs w:val="20"/>
      </w:rPr>
      <w:instrText>PAGE   \* MERGEFORMAT</w:instrText>
    </w:r>
    <w:r w:rsidRPr="00FC0B74">
      <w:rPr>
        <w:rFonts w:ascii="Arial" w:hAnsi="Arial" w:cs="Arial"/>
        <w:sz w:val="20"/>
        <w:szCs w:val="20"/>
      </w:rPr>
      <w:fldChar w:fldCharType="separate"/>
    </w:r>
    <w:r w:rsidR="003B4849" w:rsidRPr="003B4849">
      <w:rPr>
        <w:rFonts w:ascii="Arial" w:hAnsi="Arial" w:cs="Arial"/>
        <w:noProof/>
        <w:sz w:val="20"/>
        <w:szCs w:val="20"/>
        <w:lang w:val="fr-FR"/>
      </w:rPr>
      <w:t>1</w:t>
    </w:r>
    <w:r w:rsidRPr="00FC0B74">
      <w:rPr>
        <w:rFonts w:ascii="Arial" w:hAnsi="Arial" w:cs="Arial"/>
        <w:sz w:val="20"/>
        <w:szCs w:val="20"/>
      </w:rPr>
      <w:fldChar w:fldCharType="end"/>
    </w:r>
  </w:p>
  <w:p w:rsidR="00FC0B74" w:rsidRDefault="00FC0B7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FFC" w:rsidRDefault="00004FFC" w:rsidP="00E74BAE">
      <w:pPr>
        <w:spacing w:after="0" w:line="240" w:lineRule="auto"/>
      </w:pPr>
      <w:r>
        <w:separator/>
      </w:r>
    </w:p>
  </w:footnote>
  <w:footnote w:type="continuationSeparator" w:id="0">
    <w:p w:rsidR="00004FFC" w:rsidRDefault="00004FFC" w:rsidP="00E74B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8A63A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D77EF"/>
    <w:multiLevelType w:val="hybridMultilevel"/>
    <w:tmpl w:val="FF308D70"/>
    <w:lvl w:ilvl="0" w:tplc="6ACCB6B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F66CEE"/>
    <w:multiLevelType w:val="hybridMultilevel"/>
    <w:tmpl w:val="822C4A32"/>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A755AC"/>
    <w:multiLevelType w:val="hybridMultilevel"/>
    <w:tmpl w:val="05CA5FA2"/>
    <w:lvl w:ilvl="0" w:tplc="214816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C1B31"/>
    <w:multiLevelType w:val="hybridMultilevel"/>
    <w:tmpl w:val="AD40E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27170"/>
    <w:multiLevelType w:val="hybridMultilevel"/>
    <w:tmpl w:val="3A3ED6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915D3E"/>
    <w:multiLevelType w:val="hybridMultilevel"/>
    <w:tmpl w:val="43CAEECA"/>
    <w:lvl w:ilvl="0" w:tplc="C8084E6E">
      <w:start w:val="4"/>
      <w:numFmt w:val="bullet"/>
      <w:lvlText w:val="-"/>
      <w:lvlJc w:val="left"/>
      <w:pPr>
        <w:tabs>
          <w:tab w:val="num" w:pos="720"/>
        </w:tabs>
        <w:ind w:left="720" w:hanging="360"/>
      </w:pPr>
      <w:rPr>
        <w:rFonts w:ascii="Calibri" w:eastAsia="Times New Roman" w:hAnsi="Calibri"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B14161"/>
    <w:multiLevelType w:val="hybridMultilevel"/>
    <w:tmpl w:val="D5DE4370"/>
    <w:lvl w:ilvl="0" w:tplc="7308773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C21A3"/>
    <w:multiLevelType w:val="hybridMultilevel"/>
    <w:tmpl w:val="F2007AD6"/>
    <w:lvl w:ilvl="0" w:tplc="0409000F">
      <w:start w:val="1"/>
      <w:numFmt w:val="decimal"/>
      <w:lvlText w:val="%1."/>
      <w:lvlJc w:val="left"/>
      <w:pPr>
        <w:ind w:left="4614" w:hanging="360"/>
      </w:pPr>
    </w:lvl>
    <w:lvl w:ilvl="1" w:tplc="04090019">
      <w:start w:val="1"/>
      <w:numFmt w:val="lowerLetter"/>
      <w:lvlText w:val="%2."/>
      <w:lvlJc w:val="left"/>
      <w:pPr>
        <w:ind w:left="5334" w:hanging="360"/>
      </w:pPr>
    </w:lvl>
    <w:lvl w:ilvl="2" w:tplc="0409001B">
      <w:start w:val="1"/>
      <w:numFmt w:val="lowerRoman"/>
      <w:lvlText w:val="%3."/>
      <w:lvlJc w:val="right"/>
      <w:pPr>
        <w:ind w:left="6054" w:hanging="180"/>
      </w:pPr>
    </w:lvl>
    <w:lvl w:ilvl="3" w:tplc="0409000F">
      <w:start w:val="1"/>
      <w:numFmt w:val="decimal"/>
      <w:lvlText w:val="%4."/>
      <w:lvlJc w:val="left"/>
      <w:pPr>
        <w:ind w:left="6774" w:hanging="360"/>
      </w:pPr>
    </w:lvl>
    <w:lvl w:ilvl="4" w:tplc="04090019">
      <w:start w:val="1"/>
      <w:numFmt w:val="lowerLetter"/>
      <w:lvlText w:val="%5."/>
      <w:lvlJc w:val="left"/>
      <w:pPr>
        <w:ind w:left="7494" w:hanging="360"/>
      </w:pPr>
    </w:lvl>
    <w:lvl w:ilvl="5" w:tplc="0409001B">
      <w:start w:val="1"/>
      <w:numFmt w:val="lowerRoman"/>
      <w:lvlText w:val="%6."/>
      <w:lvlJc w:val="right"/>
      <w:pPr>
        <w:ind w:left="8214" w:hanging="180"/>
      </w:pPr>
    </w:lvl>
    <w:lvl w:ilvl="6" w:tplc="E7C28E86">
      <w:start w:val="1"/>
      <w:numFmt w:val="lowerRoman"/>
      <w:lvlText w:val="(%7)"/>
      <w:lvlJc w:val="left"/>
      <w:pPr>
        <w:ind w:left="9294" w:hanging="720"/>
      </w:pPr>
      <w:rPr>
        <w:rFonts w:hint="default"/>
      </w:rPr>
    </w:lvl>
    <w:lvl w:ilvl="7" w:tplc="04090019" w:tentative="1">
      <w:start w:val="1"/>
      <w:numFmt w:val="lowerLetter"/>
      <w:lvlText w:val="%8."/>
      <w:lvlJc w:val="left"/>
      <w:pPr>
        <w:ind w:left="9654" w:hanging="360"/>
      </w:pPr>
    </w:lvl>
    <w:lvl w:ilvl="8" w:tplc="0409001B" w:tentative="1">
      <w:start w:val="1"/>
      <w:numFmt w:val="lowerRoman"/>
      <w:lvlText w:val="%9."/>
      <w:lvlJc w:val="right"/>
      <w:pPr>
        <w:ind w:left="10374" w:hanging="180"/>
      </w:pPr>
    </w:lvl>
  </w:abstractNum>
  <w:abstractNum w:abstractNumId="10" w15:restartNumberingAfterBreak="0">
    <w:nsid w:val="1A474933"/>
    <w:multiLevelType w:val="hybridMultilevel"/>
    <w:tmpl w:val="F9AAA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11B14"/>
    <w:multiLevelType w:val="hybridMultilevel"/>
    <w:tmpl w:val="0E1EDE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671E9A"/>
    <w:multiLevelType w:val="hybridMultilevel"/>
    <w:tmpl w:val="0A860674"/>
    <w:lvl w:ilvl="0" w:tplc="0409000F">
      <w:start w:val="1"/>
      <w:numFmt w:val="decimal"/>
      <w:lvlText w:val="%1."/>
      <w:lvlJc w:val="left"/>
      <w:pPr>
        <w:ind w:left="720" w:hanging="360"/>
      </w:pPr>
      <w:rPr>
        <w:rFonts w:hint="default"/>
      </w:rPr>
    </w:lvl>
    <w:lvl w:ilvl="1" w:tplc="11600382">
      <w:start w:val="1"/>
      <w:numFmt w:val="lowerLetter"/>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A5F3F"/>
    <w:multiLevelType w:val="hybridMultilevel"/>
    <w:tmpl w:val="D9B235F0"/>
    <w:lvl w:ilvl="0" w:tplc="140C000F">
      <w:start w:val="1"/>
      <w:numFmt w:val="decimal"/>
      <w:lvlText w:val="%1."/>
      <w:lvlJc w:val="left"/>
      <w:pPr>
        <w:ind w:left="720" w:hanging="360"/>
      </w:pPr>
      <w:rPr>
        <w:rFonts w:hint="default"/>
      </w:r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4" w15:restartNumberingAfterBreak="0">
    <w:nsid w:val="222C2271"/>
    <w:multiLevelType w:val="hybridMultilevel"/>
    <w:tmpl w:val="04CEB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DF60A4"/>
    <w:multiLevelType w:val="hybridMultilevel"/>
    <w:tmpl w:val="94A03C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ED0731"/>
    <w:multiLevelType w:val="hybridMultilevel"/>
    <w:tmpl w:val="167E499C"/>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502"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F74A942A">
      <w:start w:val="1"/>
      <w:numFmt w:val="lowerRoman"/>
      <w:lvlText w:val="%7)"/>
      <w:lvlJc w:val="left"/>
      <w:pPr>
        <w:ind w:left="5400" w:hanging="72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D539E6"/>
    <w:multiLevelType w:val="hybridMultilevel"/>
    <w:tmpl w:val="EA3CB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AE4F67"/>
    <w:multiLevelType w:val="hybridMultilevel"/>
    <w:tmpl w:val="BB8C94A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7">
      <w:start w:val="1"/>
      <w:numFmt w:val="lowerLetter"/>
      <w:lvlText w:val="%6)"/>
      <w:lvlJc w:val="lef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CDD51C4"/>
    <w:multiLevelType w:val="hybridMultilevel"/>
    <w:tmpl w:val="E2DA833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344F7148"/>
    <w:multiLevelType w:val="hybridMultilevel"/>
    <w:tmpl w:val="6FCEC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AF3A9B"/>
    <w:multiLevelType w:val="hybridMultilevel"/>
    <w:tmpl w:val="265E4B9C"/>
    <w:lvl w:ilvl="0" w:tplc="7308773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470E17"/>
    <w:multiLevelType w:val="hybridMultilevel"/>
    <w:tmpl w:val="E1D2F5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BAD65380">
      <w:start w:val="1"/>
      <w:numFmt w:val="lowerRoman"/>
      <w:lvlText w:val="%7)"/>
      <w:lvlJc w:val="left"/>
      <w:pPr>
        <w:ind w:left="5400" w:hanging="72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95144D"/>
    <w:multiLevelType w:val="hybridMultilevel"/>
    <w:tmpl w:val="00480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16244F"/>
    <w:multiLevelType w:val="hybridMultilevel"/>
    <w:tmpl w:val="50EA9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1C0665"/>
    <w:multiLevelType w:val="hybridMultilevel"/>
    <w:tmpl w:val="1BC60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BC658E"/>
    <w:multiLevelType w:val="hybridMultilevel"/>
    <w:tmpl w:val="A08CAB48"/>
    <w:lvl w:ilvl="0" w:tplc="DD04610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35363ED"/>
    <w:multiLevelType w:val="hybridMultilevel"/>
    <w:tmpl w:val="8F6245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DA40F8"/>
    <w:multiLevelType w:val="hybridMultilevel"/>
    <w:tmpl w:val="48D481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C83370"/>
    <w:multiLevelType w:val="hybridMultilevel"/>
    <w:tmpl w:val="FB3E2EC2"/>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69500A"/>
    <w:multiLevelType w:val="hybridMultilevel"/>
    <w:tmpl w:val="9A121A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A77136"/>
    <w:multiLevelType w:val="hybridMultilevel"/>
    <w:tmpl w:val="8AF8B7A8"/>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3C141F2C">
      <w:start w:val="1"/>
      <w:numFmt w:val="decimal"/>
      <w:lvlText w:val="(%3)"/>
      <w:lvlJc w:val="left"/>
      <w:pPr>
        <w:ind w:left="2355" w:hanging="37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214D00"/>
    <w:multiLevelType w:val="hybridMultilevel"/>
    <w:tmpl w:val="D43C7DD4"/>
    <w:lvl w:ilvl="0" w:tplc="7308773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502"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F74A942A">
      <w:start w:val="1"/>
      <w:numFmt w:val="lowerRoman"/>
      <w:lvlText w:val="%7)"/>
      <w:lvlJc w:val="left"/>
      <w:pPr>
        <w:ind w:left="5400" w:hanging="72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C53E87"/>
    <w:multiLevelType w:val="hybridMultilevel"/>
    <w:tmpl w:val="03D68426"/>
    <w:lvl w:ilvl="0" w:tplc="04090017">
      <w:start w:val="1"/>
      <w:numFmt w:val="lowerLetter"/>
      <w:lvlText w:val="%1)"/>
      <w:lvlJc w:val="left"/>
      <w:pPr>
        <w:ind w:left="742" w:hanging="360"/>
      </w:pPr>
      <w:rPr>
        <w:rFonts w:hint="default"/>
      </w:rPr>
    </w:lvl>
    <w:lvl w:ilvl="1" w:tplc="04090019">
      <w:start w:val="1"/>
      <w:numFmt w:val="lowerLetter"/>
      <w:lvlText w:val="%2."/>
      <w:lvlJc w:val="left"/>
      <w:pPr>
        <w:ind w:left="1462" w:hanging="360"/>
      </w:pPr>
    </w:lvl>
    <w:lvl w:ilvl="2" w:tplc="0409001B">
      <w:start w:val="1"/>
      <w:numFmt w:val="lowerRoman"/>
      <w:lvlText w:val="%3."/>
      <w:lvlJc w:val="right"/>
      <w:pPr>
        <w:ind w:left="2182" w:hanging="180"/>
      </w:pPr>
    </w:lvl>
    <w:lvl w:ilvl="3" w:tplc="0409000F">
      <w:start w:val="1"/>
      <w:numFmt w:val="decimal"/>
      <w:lvlText w:val="%4."/>
      <w:lvlJc w:val="left"/>
      <w:pPr>
        <w:ind w:left="2902" w:hanging="360"/>
      </w:pPr>
    </w:lvl>
    <w:lvl w:ilvl="4" w:tplc="04090019">
      <w:start w:val="1"/>
      <w:numFmt w:val="lowerLetter"/>
      <w:lvlText w:val="%5."/>
      <w:lvlJc w:val="left"/>
      <w:pPr>
        <w:ind w:left="3622" w:hanging="360"/>
      </w:pPr>
    </w:lvl>
    <w:lvl w:ilvl="5" w:tplc="0409001B">
      <w:start w:val="1"/>
      <w:numFmt w:val="lowerRoman"/>
      <w:lvlText w:val="%6."/>
      <w:lvlJc w:val="right"/>
      <w:pPr>
        <w:ind w:left="4342" w:hanging="180"/>
      </w:pPr>
    </w:lvl>
    <w:lvl w:ilvl="6" w:tplc="0409000F">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34" w15:restartNumberingAfterBreak="0">
    <w:nsid w:val="612F1DF6"/>
    <w:multiLevelType w:val="hybridMultilevel"/>
    <w:tmpl w:val="B958E0B6"/>
    <w:lvl w:ilvl="0" w:tplc="0409001B">
      <w:start w:val="1"/>
      <w:numFmt w:val="lowerRoman"/>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17F04C9"/>
    <w:multiLevelType w:val="hybridMultilevel"/>
    <w:tmpl w:val="9AD8E734"/>
    <w:lvl w:ilvl="0" w:tplc="FD4AB064">
      <w:start w:val="1"/>
      <w:numFmt w:val="lowerLetter"/>
      <w:lvlText w:val="%1)"/>
      <w:lvlJc w:val="left"/>
      <w:pPr>
        <w:ind w:left="1496" w:hanging="360"/>
      </w:pPr>
      <w:rPr>
        <w:rFonts w:hint="default"/>
      </w:rPr>
    </w:lvl>
    <w:lvl w:ilvl="1" w:tplc="140C0019" w:tentative="1">
      <w:start w:val="1"/>
      <w:numFmt w:val="lowerLetter"/>
      <w:lvlText w:val="%2."/>
      <w:lvlJc w:val="left"/>
      <w:pPr>
        <w:ind w:left="2216" w:hanging="360"/>
      </w:pPr>
    </w:lvl>
    <w:lvl w:ilvl="2" w:tplc="140C001B" w:tentative="1">
      <w:start w:val="1"/>
      <w:numFmt w:val="lowerRoman"/>
      <w:lvlText w:val="%3."/>
      <w:lvlJc w:val="right"/>
      <w:pPr>
        <w:ind w:left="2936" w:hanging="180"/>
      </w:pPr>
    </w:lvl>
    <w:lvl w:ilvl="3" w:tplc="140C000F" w:tentative="1">
      <w:start w:val="1"/>
      <w:numFmt w:val="decimal"/>
      <w:lvlText w:val="%4."/>
      <w:lvlJc w:val="left"/>
      <w:pPr>
        <w:ind w:left="3656" w:hanging="360"/>
      </w:pPr>
    </w:lvl>
    <w:lvl w:ilvl="4" w:tplc="140C0019" w:tentative="1">
      <w:start w:val="1"/>
      <w:numFmt w:val="lowerLetter"/>
      <w:lvlText w:val="%5."/>
      <w:lvlJc w:val="left"/>
      <w:pPr>
        <w:ind w:left="4376" w:hanging="360"/>
      </w:pPr>
    </w:lvl>
    <w:lvl w:ilvl="5" w:tplc="140C001B" w:tentative="1">
      <w:start w:val="1"/>
      <w:numFmt w:val="lowerRoman"/>
      <w:lvlText w:val="%6."/>
      <w:lvlJc w:val="right"/>
      <w:pPr>
        <w:ind w:left="5096" w:hanging="180"/>
      </w:pPr>
    </w:lvl>
    <w:lvl w:ilvl="6" w:tplc="140C000F" w:tentative="1">
      <w:start w:val="1"/>
      <w:numFmt w:val="decimal"/>
      <w:lvlText w:val="%7."/>
      <w:lvlJc w:val="left"/>
      <w:pPr>
        <w:ind w:left="5816" w:hanging="360"/>
      </w:pPr>
    </w:lvl>
    <w:lvl w:ilvl="7" w:tplc="140C0019" w:tentative="1">
      <w:start w:val="1"/>
      <w:numFmt w:val="lowerLetter"/>
      <w:lvlText w:val="%8."/>
      <w:lvlJc w:val="left"/>
      <w:pPr>
        <w:ind w:left="6536" w:hanging="360"/>
      </w:pPr>
    </w:lvl>
    <w:lvl w:ilvl="8" w:tplc="140C001B" w:tentative="1">
      <w:start w:val="1"/>
      <w:numFmt w:val="lowerRoman"/>
      <w:lvlText w:val="%9."/>
      <w:lvlJc w:val="right"/>
      <w:pPr>
        <w:ind w:left="7256" w:hanging="180"/>
      </w:pPr>
    </w:lvl>
  </w:abstractNum>
  <w:abstractNum w:abstractNumId="36" w15:restartNumberingAfterBreak="0">
    <w:nsid w:val="67056B56"/>
    <w:multiLevelType w:val="hybridMultilevel"/>
    <w:tmpl w:val="042E9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997F98"/>
    <w:multiLevelType w:val="hybridMultilevel"/>
    <w:tmpl w:val="5FD004A2"/>
    <w:lvl w:ilvl="0" w:tplc="4380F7E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7BE857D0"/>
    <w:multiLevelType w:val="hybridMultilevel"/>
    <w:tmpl w:val="241218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1"/>
  </w:num>
  <w:num w:numId="3">
    <w:abstractNumId w:val="0"/>
  </w:num>
  <w:num w:numId="4">
    <w:abstractNumId w:val="1"/>
  </w:num>
  <w:num w:numId="5">
    <w:abstractNumId w:val="23"/>
  </w:num>
  <w:num w:numId="6">
    <w:abstractNumId w:val="7"/>
  </w:num>
  <w:num w:numId="7">
    <w:abstractNumId w:val="19"/>
  </w:num>
  <w:num w:numId="8">
    <w:abstractNumId w:val="26"/>
  </w:num>
  <w:num w:numId="9">
    <w:abstractNumId w:val="34"/>
    <w:lvlOverride w:ilvl="0">
      <w:startOverride w:val="1"/>
    </w:lvlOverride>
    <w:lvlOverride w:ilvl="1"/>
    <w:lvlOverride w:ilvl="2"/>
    <w:lvlOverride w:ilvl="3"/>
    <w:lvlOverride w:ilvl="4"/>
    <w:lvlOverride w:ilvl="5"/>
    <w:lvlOverride w:ilvl="6"/>
    <w:lvlOverride w:ilvl="7"/>
    <w:lvlOverride w:ilvl="8"/>
  </w:num>
  <w:num w:numId="10">
    <w:abstractNumId w:val="2"/>
  </w:num>
  <w:num w:numId="11">
    <w:abstractNumId w:val="15"/>
  </w:num>
  <w:num w:numId="12">
    <w:abstractNumId w:val="22"/>
  </w:num>
  <w:num w:numId="13">
    <w:abstractNumId w:val="32"/>
  </w:num>
  <w:num w:numId="14">
    <w:abstractNumId w:val="3"/>
  </w:num>
  <w:num w:numId="15">
    <w:abstractNumId w:val="29"/>
  </w:num>
  <w:num w:numId="16">
    <w:abstractNumId w:val="21"/>
  </w:num>
  <w:num w:numId="17">
    <w:abstractNumId w:val="24"/>
  </w:num>
  <w:num w:numId="18">
    <w:abstractNumId w:val="12"/>
  </w:num>
  <w:num w:numId="19">
    <w:abstractNumId w:val="36"/>
  </w:num>
  <w:num w:numId="20">
    <w:abstractNumId w:val="17"/>
  </w:num>
  <w:num w:numId="21">
    <w:abstractNumId w:val="4"/>
  </w:num>
  <w:num w:numId="22">
    <w:abstractNumId w:val="9"/>
  </w:num>
  <w:num w:numId="23">
    <w:abstractNumId w:val="33"/>
  </w:num>
  <w:num w:numId="24">
    <w:abstractNumId w:val="11"/>
  </w:num>
  <w:num w:numId="25">
    <w:abstractNumId w:val="27"/>
  </w:num>
  <w:num w:numId="26">
    <w:abstractNumId w:val="18"/>
  </w:num>
  <w:num w:numId="27">
    <w:abstractNumId w:val="25"/>
  </w:num>
  <w:num w:numId="28">
    <w:abstractNumId w:val="30"/>
  </w:num>
  <w:num w:numId="29">
    <w:abstractNumId w:val="10"/>
  </w:num>
  <w:num w:numId="30">
    <w:abstractNumId w:val="5"/>
  </w:num>
  <w:num w:numId="31">
    <w:abstractNumId w:val="28"/>
  </w:num>
  <w:num w:numId="32">
    <w:abstractNumId w:val="38"/>
  </w:num>
  <w:num w:numId="33">
    <w:abstractNumId w:val="16"/>
  </w:num>
  <w:num w:numId="34">
    <w:abstractNumId w:val="37"/>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04FFC"/>
    <w:rsid w:val="0002273C"/>
    <w:rsid w:val="000345B8"/>
    <w:rsid w:val="000B0989"/>
    <w:rsid w:val="000E7592"/>
    <w:rsid w:val="0010087F"/>
    <w:rsid w:val="0010246A"/>
    <w:rsid w:val="00104D71"/>
    <w:rsid w:val="00156D79"/>
    <w:rsid w:val="00170954"/>
    <w:rsid w:val="00194B6A"/>
    <w:rsid w:val="001C0017"/>
    <w:rsid w:val="0021690C"/>
    <w:rsid w:val="00254694"/>
    <w:rsid w:val="00260860"/>
    <w:rsid w:val="0026695B"/>
    <w:rsid w:val="00301B2B"/>
    <w:rsid w:val="00314A85"/>
    <w:rsid w:val="0032387E"/>
    <w:rsid w:val="003239A5"/>
    <w:rsid w:val="003971C5"/>
    <w:rsid w:val="003B4849"/>
    <w:rsid w:val="003F1531"/>
    <w:rsid w:val="00437BA5"/>
    <w:rsid w:val="0047293C"/>
    <w:rsid w:val="004B7819"/>
    <w:rsid w:val="004C0032"/>
    <w:rsid w:val="004F1C1A"/>
    <w:rsid w:val="00532502"/>
    <w:rsid w:val="0057187B"/>
    <w:rsid w:val="005A743B"/>
    <w:rsid w:val="005A7E00"/>
    <w:rsid w:val="005B5C56"/>
    <w:rsid w:val="005F1180"/>
    <w:rsid w:val="005F25A6"/>
    <w:rsid w:val="005F3A00"/>
    <w:rsid w:val="0062727A"/>
    <w:rsid w:val="00636D6A"/>
    <w:rsid w:val="0070676D"/>
    <w:rsid w:val="00840439"/>
    <w:rsid w:val="00887F4D"/>
    <w:rsid w:val="00927465"/>
    <w:rsid w:val="009533FB"/>
    <w:rsid w:val="009700E6"/>
    <w:rsid w:val="009D3856"/>
    <w:rsid w:val="00A4147B"/>
    <w:rsid w:val="00A54A80"/>
    <w:rsid w:val="00A62189"/>
    <w:rsid w:val="00A749B4"/>
    <w:rsid w:val="00A9223E"/>
    <w:rsid w:val="00C0013A"/>
    <w:rsid w:val="00C25AF0"/>
    <w:rsid w:val="00C64665"/>
    <w:rsid w:val="00CA576A"/>
    <w:rsid w:val="00CE7012"/>
    <w:rsid w:val="00D6692F"/>
    <w:rsid w:val="00DD19DA"/>
    <w:rsid w:val="00E02A9D"/>
    <w:rsid w:val="00E072B7"/>
    <w:rsid w:val="00E45932"/>
    <w:rsid w:val="00E74BAE"/>
    <w:rsid w:val="00E76DDE"/>
    <w:rsid w:val="00ED7E3D"/>
    <w:rsid w:val="00EE65AB"/>
    <w:rsid w:val="00F60E44"/>
    <w:rsid w:val="00FC0B74"/>
    <w:rsid w:val="00FC665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Notedebasdepage">
    <w:name w:val="footnote text"/>
    <w:basedOn w:val="Normal"/>
    <w:link w:val="NotedebasdepageCar"/>
    <w:uiPriority w:val="99"/>
    <w:unhideWhenUsed/>
    <w:rsid w:val="00E74BAE"/>
    <w:rPr>
      <w:sz w:val="24"/>
      <w:szCs w:val="24"/>
    </w:rPr>
  </w:style>
  <w:style w:type="character" w:customStyle="1" w:styleId="NotedebasdepageCar">
    <w:name w:val="Note de bas de page Car"/>
    <w:link w:val="Notedebasdepage"/>
    <w:uiPriority w:val="99"/>
    <w:rsid w:val="00E74BAE"/>
    <w:rPr>
      <w:sz w:val="24"/>
      <w:szCs w:val="24"/>
      <w:lang w:val="fr-LU"/>
    </w:rPr>
  </w:style>
  <w:style w:type="character" w:styleId="Appelnotedebasdep">
    <w:name w:val="footnote reference"/>
    <w:aliases w:val="Footnote symbol"/>
    <w:uiPriority w:val="99"/>
    <w:unhideWhenUsed/>
    <w:rsid w:val="00E74BAE"/>
    <w:rPr>
      <w:vertAlign w:val="superscript"/>
    </w:rPr>
  </w:style>
  <w:style w:type="character" w:styleId="Marquedecommentaire">
    <w:name w:val="annotation reference"/>
    <w:uiPriority w:val="99"/>
    <w:semiHidden/>
    <w:unhideWhenUsed/>
    <w:rsid w:val="00437BA5"/>
    <w:rPr>
      <w:sz w:val="16"/>
      <w:szCs w:val="16"/>
    </w:rPr>
  </w:style>
  <w:style w:type="paragraph" w:styleId="Commentaire">
    <w:name w:val="annotation text"/>
    <w:basedOn w:val="Normal"/>
    <w:link w:val="CommentaireCar"/>
    <w:uiPriority w:val="99"/>
    <w:semiHidden/>
    <w:unhideWhenUsed/>
    <w:rsid w:val="00437BA5"/>
    <w:rPr>
      <w:sz w:val="20"/>
      <w:szCs w:val="20"/>
    </w:rPr>
  </w:style>
  <w:style w:type="character" w:customStyle="1" w:styleId="CommentaireCar">
    <w:name w:val="Commentaire Car"/>
    <w:link w:val="Commentaire"/>
    <w:uiPriority w:val="99"/>
    <w:semiHidden/>
    <w:rsid w:val="00437BA5"/>
    <w:rPr>
      <w:lang w:val="fr-LU"/>
    </w:rPr>
  </w:style>
  <w:style w:type="paragraph" w:styleId="Objetducommentaire">
    <w:name w:val="annotation subject"/>
    <w:basedOn w:val="Commentaire"/>
    <w:next w:val="Commentaire"/>
    <w:link w:val="ObjetducommentaireCar"/>
    <w:uiPriority w:val="99"/>
    <w:semiHidden/>
    <w:unhideWhenUsed/>
    <w:rsid w:val="00437BA5"/>
    <w:rPr>
      <w:b/>
      <w:bCs/>
    </w:rPr>
  </w:style>
  <w:style w:type="character" w:customStyle="1" w:styleId="ObjetducommentaireCar">
    <w:name w:val="Objet du commentaire Car"/>
    <w:link w:val="Objetducommentaire"/>
    <w:uiPriority w:val="99"/>
    <w:semiHidden/>
    <w:rsid w:val="00437BA5"/>
    <w:rPr>
      <w:b/>
      <w:bCs/>
      <w:lang w:val="fr-LU"/>
    </w:rPr>
  </w:style>
  <w:style w:type="paragraph" w:styleId="Textedebulles">
    <w:name w:val="Balloon Text"/>
    <w:basedOn w:val="Normal"/>
    <w:link w:val="TextedebullesCar"/>
    <w:uiPriority w:val="99"/>
    <w:semiHidden/>
    <w:unhideWhenUsed/>
    <w:rsid w:val="00437BA5"/>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437BA5"/>
    <w:rPr>
      <w:rFonts w:ascii="Segoe UI" w:hAnsi="Segoe UI" w:cs="Segoe UI"/>
      <w:sz w:val="18"/>
      <w:szCs w:val="18"/>
      <w:lang w:val="fr-LU"/>
    </w:rPr>
  </w:style>
  <w:style w:type="paragraph" w:styleId="En-tte">
    <w:name w:val="header"/>
    <w:basedOn w:val="Normal"/>
    <w:link w:val="En-tteCar"/>
    <w:uiPriority w:val="99"/>
    <w:unhideWhenUsed/>
    <w:rsid w:val="00FC0B74"/>
    <w:pPr>
      <w:tabs>
        <w:tab w:val="center" w:pos="4536"/>
        <w:tab w:val="right" w:pos="9072"/>
      </w:tabs>
    </w:pPr>
  </w:style>
  <w:style w:type="character" w:customStyle="1" w:styleId="En-tteCar">
    <w:name w:val="En-tête Car"/>
    <w:link w:val="En-tte"/>
    <w:uiPriority w:val="99"/>
    <w:rsid w:val="00FC0B74"/>
    <w:rPr>
      <w:sz w:val="22"/>
      <w:szCs w:val="22"/>
      <w:lang w:eastAsia="en-US"/>
    </w:rPr>
  </w:style>
  <w:style w:type="paragraph" w:styleId="Pieddepage">
    <w:name w:val="footer"/>
    <w:basedOn w:val="Normal"/>
    <w:link w:val="PieddepageCar"/>
    <w:uiPriority w:val="99"/>
    <w:unhideWhenUsed/>
    <w:rsid w:val="00FC0B74"/>
    <w:pPr>
      <w:tabs>
        <w:tab w:val="center" w:pos="4536"/>
        <w:tab w:val="right" w:pos="9072"/>
      </w:tabs>
    </w:pPr>
  </w:style>
  <w:style w:type="character" w:customStyle="1" w:styleId="PieddepageCar">
    <w:name w:val="Pied de page Car"/>
    <w:link w:val="Pieddepage"/>
    <w:uiPriority w:val="99"/>
    <w:rsid w:val="00FC0B74"/>
    <w:rPr>
      <w:sz w:val="22"/>
      <w:szCs w:val="22"/>
      <w:lang w:eastAsia="en-US"/>
    </w:rPr>
  </w:style>
  <w:style w:type="paragraph" w:customStyle="1" w:styleId="BodyText21">
    <w:name w:val="Body Text 21"/>
    <w:basedOn w:val="Normal"/>
    <w:rsid w:val="00FC0B74"/>
    <w:pPr>
      <w:widowControl w:val="0"/>
      <w:tabs>
        <w:tab w:val="left" w:pos="0"/>
      </w:tabs>
      <w:suppressAutoHyphens/>
      <w:overflowPunct w:val="0"/>
      <w:autoSpaceDE w:val="0"/>
      <w:autoSpaceDN w:val="0"/>
      <w:adjustRightInd w:val="0"/>
      <w:spacing w:after="0" w:line="240" w:lineRule="auto"/>
      <w:jc w:val="both"/>
    </w:pPr>
    <w:rPr>
      <w:rFonts w:ascii="Helvetica" w:eastAsia="Times New Roman" w:hAnsi="Helvetica"/>
      <w:spacing w:val="-3"/>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DP7022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7022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/sftpecos/Dossiers_parlementaires/7022/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AE4394B-B619-4845-9656-8463C1B8564A}">
  <ds:schemaRefs>
    <ds:schemaRef ds:uri="http://schemas.openxmlformats.org/officeDocument/2006/bibliography"/>
  </ds:schemaRefs>
</ds:datastoreItem>
</file>

<file path=customXml/itemProps2.xml><?xml version="1.0" encoding="utf-8"?>
<ds:datastoreItem xmlns:ds="http://schemas.openxmlformats.org/officeDocument/2006/customXml" ds:itemID="{FE82375F-6242-47BC-B828-F1AC2F92B382}"/>
</file>

<file path=customXml/itemProps3.xml><?xml version="1.0" encoding="utf-8"?>
<ds:datastoreItem xmlns:ds="http://schemas.openxmlformats.org/officeDocument/2006/customXml" ds:itemID="{132ECB7E-227C-485D-B5FF-327C8EF38E49}"/>
</file>

<file path=customXml/itemProps4.xml><?xml version="1.0" encoding="utf-8"?>
<ds:datastoreItem xmlns:ds="http://schemas.openxmlformats.org/officeDocument/2006/customXml" ds:itemID="{B6078B7C-9C04-4503-879A-148A2C7C4330}"/>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5984</Characters>
  <Application>Microsoft Office Word</Application>
  <DocSecurity>4</DocSecurity>
  <Lines>49</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7057</CharactersWithSpaces>
  <SharedDoc>false</SharedDoc>
  <HLinks>
    <vt:vector size="6" baseType="variant">
      <vt:variant>
        <vt:i4>537067529</vt:i4>
      </vt:variant>
      <vt:variant>
        <vt:i4>0</vt:i4>
      </vt:variant>
      <vt:variant>
        <vt:i4>0</vt:i4>
      </vt:variant>
      <vt:variant>
        <vt:i4>5</vt:i4>
      </vt:variant>
      <vt:variant>
        <vt:lpwstr/>
      </vt:variant>
      <vt:variant>
        <vt:lpwstr>_Chapitre_xxx._–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
  <cp:keywords/>
  <cp:lastModifiedBy/>
  <cp:revision>1</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