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7A" w:rsidRPr="00CD4C7A" w:rsidRDefault="00CD4C7A" w:rsidP="00CD4C7A">
      <w:pPr>
        <w:autoSpaceDE w:val="0"/>
        <w:autoSpaceDN w:val="0"/>
        <w:adjustRightInd w:val="0"/>
        <w:spacing w:after="0" w:line="240" w:lineRule="auto"/>
        <w:jc w:val="center"/>
        <w:rPr>
          <w:rFonts w:ascii="Arial" w:hAnsi="Arial" w:cs="Arial"/>
          <w:b/>
          <w:color w:val="000000"/>
          <w:lang w:val="fr-CH" w:eastAsia="en-GB"/>
        </w:rPr>
      </w:pPr>
      <w:bookmarkStart w:id="0" w:name="_GoBack"/>
      <w:bookmarkEnd w:id="0"/>
      <w:r w:rsidRPr="00CD4C7A">
        <w:rPr>
          <w:rFonts w:ascii="Arial" w:hAnsi="Arial" w:cs="Arial"/>
          <w:b/>
          <w:color w:val="000000"/>
          <w:lang w:val="fr-CH" w:eastAsia="en-GB"/>
        </w:rPr>
        <w:t>6981 Résumé</w:t>
      </w:r>
    </w:p>
    <w:p w:rsidR="00CD4C7A" w:rsidRDefault="00CD4C7A" w:rsidP="00CD4C7A">
      <w:pPr>
        <w:autoSpaceDE w:val="0"/>
        <w:autoSpaceDN w:val="0"/>
        <w:adjustRightInd w:val="0"/>
        <w:spacing w:after="0" w:line="240" w:lineRule="auto"/>
        <w:rPr>
          <w:rFonts w:ascii="Arial" w:hAnsi="Arial" w:cs="Arial"/>
          <w:color w:val="000000"/>
          <w:lang w:val="fr-CH" w:eastAsia="en-GB"/>
        </w:rPr>
      </w:pPr>
    </w:p>
    <w:p w:rsidR="00745D88" w:rsidRDefault="00745D88" w:rsidP="00745D88">
      <w:pPr>
        <w:spacing w:after="0" w:line="240" w:lineRule="auto"/>
        <w:jc w:val="both"/>
        <w:rPr>
          <w:rFonts w:ascii="Arial" w:hAnsi="Arial" w:cs="Arial"/>
          <w:color w:val="000000"/>
          <w:lang w:val="fr-CH" w:eastAsia="en-GB"/>
        </w:rPr>
      </w:pPr>
      <w:r>
        <w:rPr>
          <w:rFonts w:ascii="Arial" w:hAnsi="Arial" w:cs="Arial"/>
          <w:color w:val="000000"/>
          <w:lang w:val="fr-CH" w:eastAsia="en-GB"/>
        </w:rPr>
        <w:t xml:space="preserve">Ce projet de loi transpose la </w:t>
      </w:r>
      <w:r w:rsidRPr="00745D88">
        <w:rPr>
          <w:rFonts w:ascii="Arial" w:hAnsi="Arial" w:cs="Arial"/>
          <w:color w:val="000000"/>
          <w:lang w:val="fr-CH" w:eastAsia="en-GB"/>
        </w:rPr>
        <w:t>directive 2014/90/UE du Parlement européen et du Conseil du 23 juillet 2014 relative aux équipements marins et abrogeant la directive 96/98/CE du Conseil</w:t>
      </w:r>
      <w:r>
        <w:rPr>
          <w:rFonts w:ascii="Arial" w:hAnsi="Arial" w:cs="Arial"/>
          <w:color w:val="000000"/>
          <w:lang w:val="fr-CH" w:eastAsia="en-GB"/>
        </w:rPr>
        <w:t>.</w:t>
      </w:r>
    </w:p>
    <w:p w:rsidR="00745D88" w:rsidRPr="00745D88" w:rsidRDefault="00745D88" w:rsidP="00745D88">
      <w:pPr>
        <w:spacing w:after="0" w:line="240" w:lineRule="auto"/>
        <w:jc w:val="both"/>
        <w:rPr>
          <w:rFonts w:ascii="Arial" w:hAnsi="Arial" w:cs="Arial"/>
          <w:color w:val="000000"/>
          <w:lang w:val="fr-CH" w:eastAsia="en-GB"/>
        </w:rPr>
      </w:pPr>
    </w:p>
    <w:p w:rsidR="00CD4C7A" w:rsidRPr="00CD4C7A" w:rsidRDefault="00AF1447" w:rsidP="00CD4C7A">
      <w:pPr>
        <w:spacing w:after="0" w:line="240" w:lineRule="auto"/>
        <w:jc w:val="both"/>
        <w:rPr>
          <w:rFonts w:ascii="Arial" w:hAnsi="Arial" w:cs="Arial"/>
          <w:color w:val="000000"/>
          <w:lang w:val="fr-CH" w:eastAsia="en-GB"/>
        </w:rPr>
      </w:pPr>
      <w:r>
        <w:rPr>
          <w:rFonts w:ascii="Arial" w:hAnsi="Arial" w:cs="Arial"/>
          <w:color w:val="000000"/>
          <w:lang w:val="fr-CH" w:eastAsia="en-GB"/>
        </w:rPr>
        <w:t>L</w:t>
      </w:r>
      <w:r w:rsidR="00CD4C7A" w:rsidRPr="00CD4C7A">
        <w:rPr>
          <w:rFonts w:ascii="Arial" w:hAnsi="Arial" w:cs="Arial"/>
          <w:color w:val="000000"/>
          <w:lang w:val="fr-CH" w:eastAsia="en-GB"/>
        </w:rPr>
        <w:t xml:space="preserve">es standards et normes d’évaluation de la conformité </w:t>
      </w:r>
      <w:r w:rsidR="00745D88">
        <w:rPr>
          <w:rFonts w:ascii="Arial" w:hAnsi="Arial" w:cs="Arial"/>
          <w:color w:val="000000"/>
          <w:lang w:val="fr-CH" w:eastAsia="en-GB"/>
        </w:rPr>
        <w:t>des équipements marins</w:t>
      </w:r>
      <w:r>
        <w:rPr>
          <w:rFonts w:ascii="Arial" w:hAnsi="Arial" w:cs="Arial"/>
          <w:color w:val="000000"/>
          <w:lang w:val="fr-CH" w:eastAsia="en-GB"/>
        </w:rPr>
        <w:t xml:space="preserve"> sont </w:t>
      </w:r>
      <w:r w:rsidRPr="00CD4C7A">
        <w:rPr>
          <w:rFonts w:ascii="Arial" w:hAnsi="Arial" w:cs="Arial"/>
          <w:color w:val="000000"/>
          <w:lang w:val="fr-CH" w:eastAsia="en-GB"/>
        </w:rPr>
        <w:t>développ</w:t>
      </w:r>
      <w:r>
        <w:rPr>
          <w:rFonts w:ascii="Arial" w:hAnsi="Arial" w:cs="Arial"/>
          <w:color w:val="000000"/>
          <w:lang w:val="fr-CH" w:eastAsia="en-GB"/>
        </w:rPr>
        <w:t xml:space="preserve">és et mis </w:t>
      </w:r>
      <w:r w:rsidRPr="00CD4C7A">
        <w:rPr>
          <w:rFonts w:ascii="Arial" w:hAnsi="Arial" w:cs="Arial"/>
          <w:color w:val="000000"/>
          <w:lang w:val="fr-CH" w:eastAsia="en-GB"/>
        </w:rPr>
        <w:t>à jour</w:t>
      </w:r>
      <w:r>
        <w:rPr>
          <w:rFonts w:ascii="Arial" w:hAnsi="Arial" w:cs="Arial"/>
          <w:color w:val="000000"/>
          <w:lang w:val="fr-CH" w:eastAsia="en-GB"/>
        </w:rPr>
        <w:t xml:space="preserve"> par l</w:t>
      </w:r>
      <w:r w:rsidRPr="00CD4C7A">
        <w:rPr>
          <w:rFonts w:ascii="Arial" w:hAnsi="Arial" w:cs="Arial"/>
          <w:color w:val="000000"/>
          <w:lang w:val="fr-CH" w:eastAsia="en-GB"/>
        </w:rPr>
        <w:t>’Organisation Maritime Internationale</w:t>
      </w:r>
      <w:r w:rsidR="00745D88">
        <w:rPr>
          <w:rFonts w:ascii="Arial" w:hAnsi="Arial" w:cs="Arial"/>
          <w:color w:val="000000"/>
          <w:lang w:val="fr-CH" w:eastAsia="en-GB"/>
        </w:rPr>
        <w:t xml:space="preserve">. Il s’agit </w:t>
      </w:r>
      <w:r w:rsidR="00CD4C7A" w:rsidRPr="00CD4C7A">
        <w:rPr>
          <w:rFonts w:ascii="Arial" w:hAnsi="Arial" w:cs="Arial"/>
          <w:color w:val="000000"/>
          <w:lang w:val="fr-CH" w:eastAsia="en-GB"/>
        </w:rPr>
        <w:t xml:space="preserve">d’instruments internationaux </w:t>
      </w:r>
      <w:r w:rsidR="00745D88">
        <w:rPr>
          <w:rFonts w:ascii="Arial" w:hAnsi="Arial" w:cs="Arial"/>
          <w:color w:val="000000"/>
          <w:lang w:val="fr-CH" w:eastAsia="en-GB"/>
        </w:rPr>
        <w:t xml:space="preserve">qui </w:t>
      </w:r>
      <w:r w:rsidR="00CD4C7A" w:rsidRPr="00CD4C7A">
        <w:rPr>
          <w:rFonts w:ascii="Arial" w:hAnsi="Arial" w:cs="Arial"/>
          <w:color w:val="000000"/>
          <w:lang w:val="fr-CH" w:eastAsia="en-GB"/>
        </w:rPr>
        <w:t>pren</w:t>
      </w:r>
      <w:r w:rsidR="00745D88">
        <w:rPr>
          <w:rFonts w:ascii="Arial" w:hAnsi="Arial" w:cs="Arial"/>
          <w:color w:val="000000"/>
          <w:lang w:val="fr-CH" w:eastAsia="en-GB"/>
        </w:rPr>
        <w:t>ne</w:t>
      </w:r>
      <w:r w:rsidR="00CD4C7A" w:rsidRPr="00CD4C7A">
        <w:rPr>
          <w:rFonts w:ascii="Arial" w:hAnsi="Arial" w:cs="Arial"/>
          <w:color w:val="000000"/>
          <w:lang w:val="fr-CH" w:eastAsia="en-GB"/>
        </w:rPr>
        <w:t>nt la forme de codes, résolutions et circulaires. Les navires ne répondent aux exigences posées par les conventions internationales et la législation européenne que si eux-mêmes et leurs équipements sont conformes à ces standards.</w:t>
      </w:r>
    </w:p>
    <w:p w:rsidR="00CD4C7A" w:rsidRPr="00CD4C7A" w:rsidRDefault="00CD4C7A" w:rsidP="00CD4C7A">
      <w:pPr>
        <w:spacing w:after="0" w:line="240" w:lineRule="auto"/>
        <w:jc w:val="both"/>
        <w:rPr>
          <w:rFonts w:ascii="Arial" w:hAnsi="Arial" w:cs="Arial"/>
          <w:color w:val="000000"/>
          <w:lang w:val="fr-CH" w:eastAsia="en-GB"/>
        </w:rPr>
      </w:pPr>
    </w:p>
    <w:p w:rsidR="00CD4C7A" w:rsidRPr="00CD4C7A" w:rsidRDefault="00CD4C7A" w:rsidP="00CD4C7A">
      <w:pPr>
        <w:spacing w:after="0" w:line="240" w:lineRule="auto"/>
        <w:jc w:val="both"/>
        <w:rPr>
          <w:rFonts w:ascii="Arial" w:hAnsi="Arial" w:cs="Arial"/>
          <w:color w:val="000000"/>
          <w:lang w:val="fr-CH" w:eastAsia="en-GB"/>
        </w:rPr>
      </w:pPr>
      <w:r w:rsidRPr="00CD4C7A">
        <w:rPr>
          <w:rFonts w:ascii="Arial" w:hAnsi="Arial" w:cs="Arial"/>
          <w:color w:val="000000"/>
          <w:lang w:val="fr-CH" w:eastAsia="en-GB"/>
        </w:rPr>
        <w:t>Les Etats du pavillon ont comme obligations corrélatives de s’assurer que les équipements mis à bord des navires soient conformes aux exigences relatives à leur conception, construction et performance et d’émettre les certificats requis.</w:t>
      </w:r>
    </w:p>
    <w:p w:rsidR="00CD4C7A" w:rsidRPr="00CD4C7A" w:rsidRDefault="00CD4C7A" w:rsidP="00CD4C7A">
      <w:pPr>
        <w:spacing w:after="0" w:line="240" w:lineRule="auto"/>
        <w:jc w:val="both"/>
        <w:rPr>
          <w:rFonts w:ascii="Arial" w:hAnsi="Arial" w:cs="Arial"/>
          <w:color w:val="000000"/>
          <w:lang w:val="fr-CH" w:eastAsia="en-GB"/>
        </w:rPr>
      </w:pPr>
    </w:p>
    <w:p w:rsidR="00CD4C7A" w:rsidRPr="00CD4C7A" w:rsidRDefault="00CD4C7A" w:rsidP="00CD4C7A">
      <w:pPr>
        <w:spacing w:after="0" w:line="240" w:lineRule="auto"/>
        <w:jc w:val="both"/>
        <w:rPr>
          <w:rFonts w:ascii="Arial" w:hAnsi="Arial" w:cs="Arial"/>
          <w:color w:val="000000"/>
          <w:lang w:val="fr-CH" w:eastAsia="en-GB"/>
        </w:rPr>
      </w:pPr>
      <w:r w:rsidRPr="00CD4C7A">
        <w:rPr>
          <w:rFonts w:ascii="Arial" w:hAnsi="Arial" w:cs="Arial"/>
          <w:color w:val="000000"/>
          <w:lang w:val="fr-CH" w:eastAsia="en-GB"/>
        </w:rPr>
        <w:t>Néanmoins, ces instruments internationaux laissent une marge d’appréciation aux Etats du pavillon. De surcroît, certains standards et normes n’ont pu être adoptés que sous la forme d’instrument sans force contraignante. Ces deux facteurs favorisent la création d’une distorsion de concurrence entre navires battant des pavillons différents, même au sein de l’Union européenne.</w:t>
      </w:r>
      <w:r w:rsidR="006E07E2">
        <w:rPr>
          <w:rFonts w:ascii="Arial" w:hAnsi="Arial" w:cs="Arial"/>
          <w:color w:val="000000"/>
          <w:lang w:val="fr-CH" w:eastAsia="en-GB"/>
        </w:rPr>
        <w:t xml:space="preserve"> Cette situation était à l’origine de </w:t>
      </w:r>
      <w:r w:rsidRPr="00CD4C7A">
        <w:rPr>
          <w:rFonts w:ascii="Arial" w:hAnsi="Arial" w:cs="Arial"/>
          <w:color w:val="000000"/>
          <w:lang w:val="fr-CH" w:eastAsia="en-GB"/>
        </w:rPr>
        <w:t>la directive 96/98/CE du Conseil du 20 décembre 1996 relative aux équipements marins</w:t>
      </w:r>
      <w:r w:rsidR="006E07E2">
        <w:rPr>
          <w:rFonts w:ascii="Arial" w:hAnsi="Arial" w:cs="Arial"/>
          <w:color w:val="000000"/>
          <w:lang w:val="fr-CH" w:eastAsia="en-GB"/>
        </w:rPr>
        <w:t xml:space="preserve"> qui visait à harmoniser ce marché</w:t>
      </w:r>
      <w:r w:rsidRPr="00CD4C7A">
        <w:rPr>
          <w:rFonts w:ascii="Arial" w:hAnsi="Arial" w:cs="Arial"/>
          <w:color w:val="000000"/>
          <w:lang w:val="fr-CH" w:eastAsia="en-GB"/>
        </w:rPr>
        <w:t>. L’Union européenne est ainsi la deuxième source de normes et standards d’évaluation de la conformité concernant les équipements marins.</w:t>
      </w:r>
    </w:p>
    <w:p w:rsidR="00CD4C7A" w:rsidRPr="00CD4C7A" w:rsidRDefault="00CD4C7A" w:rsidP="00CD4C7A">
      <w:pPr>
        <w:spacing w:after="0" w:line="240" w:lineRule="auto"/>
        <w:jc w:val="both"/>
        <w:rPr>
          <w:rFonts w:ascii="Arial" w:hAnsi="Arial" w:cs="Arial"/>
          <w:color w:val="000000"/>
          <w:lang w:val="fr-CH" w:eastAsia="en-GB"/>
        </w:rPr>
      </w:pPr>
    </w:p>
    <w:p w:rsidR="00CD4C7A" w:rsidRPr="00CD4C7A" w:rsidRDefault="00745D88" w:rsidP="00CD4C7A">
      <w:pPr>
        <w:spacing w:after="0" w:line="240" w:lineRule="auto"/>
        <w:jc w:val="both"/>
        <w:rPr>
          <w:rFonts w:ascii="Arial" w:hAnsi="Arial" w:cs="Arial"/>
          <w:color w:val="000000"/>
          <w:lang w:val="fr-CH" w:eastAsia="en-GB"/>
        </w:rPr>
      </w:pPr>
      <w:r>
        <w:rPr>
          <w:rFonts w:ascii="Arial" w:hAnsi="Arial" w:cs="Arial"/>
          <w:color w:val="000000"/>
          <w:lang w:val="fr-CH" w:eastAsia="en-GB"/>
        </w:rPr>
        <w:t xml:space="preserve">Cette </w:t>
      </w:r>
      <w:r w:rsidR="00CD4C7A" w:rsidRPr="00CD4C7A">
        <w:rPr>
          <w:rFonts w:ascii="Arial" w:hAnsi="Arial" w:cs="Arial"/>
          <w:color w:val="000000"/>
          <w:lang w:val="fr-CH" w:eastAsia="en-GB"/>
        </w:rPr>
        <w:t xml:space="preserve">intervention de l’Union européenne </w:t>
      </w:r>
      <w:r>
        <w:rPr>
          <w:rFonts w:ascii="Arial" w:hAnsi="Arial" w:cs="Arial"/>
          <w:color w:val="000000"/>
          <w:lang w:val="fr-CH" w:eastAsia="en-GB"/>
        </w:rPr>
        <w:t xml:space="preserve">a </w:t>
      </w:r>
      <w:r w:rsidR="00CD4C7A" w:rsidRPr="00CD4C7A">
        <w:rPr>
          <w:rFonts w:ascii="Arial" w:hAnsi="Arial" w:cs="Arial"/>
          <w:color w:val="000000"/>
          <w:lang w:val="fr-CH" w:eastAsia="en-GB"/>
        </w:rPr>
        <w:t xml:space="preserve">également </w:t>
      </w:r>
      <w:r>
        <w:rPr>
          <w:rFonts w:ascii="Arial" w:hAnsi="Arial" w:cs="Arial"/>
          <w:color w:val="000000"/>
          <w:lang w:val="fr-CH" w:eastAsia="en-GB"/>
        </w:rPr>
        <w:t xml:space="preserve">assuré </w:t>
      </w:r>
      <w:r w:rsidR="00CD4C7A" w:rsidRPr="00CD4C7A">
        <w:rPr>
          <w:rFonts w:ascii="Arial" w:hAnsi="Arial" w:cs="Arial"/>
          <w:color w:val="000000"/>
          <w:lang w:val="fr-CH" w:eastAsia="en-GB"/>
        </w:rPr>
        <w:t>une sécurité juridique en permettant la reconnaissance mutuelle des certificats de conformité émis par les Etats membres</w:t>
      </w:r>
      <w:r w:rsidR="006E07E2">
        <w:rPr>
          <w:rFonts w:ascii="Arial" w:hAnsi="Arial" w:cs="Arial"/>
          <w:color w:val="000000"/>
          <w:lang w:val="fr-CH" w:eastAsia="en-GB"/>
        </w:rPr>
        <w:t xml:space="preserve"> et donc </w:t>
      </w:r>
      <w:r w:rsidR="00CD4C7A" w:rsidRPr="00CD4C7A">
        <w:rPr>
          <w:rFonts w:ascii="Arial" w:hAnsi="Arial" w:cs="Arial"/>
          <w:color w:val="000000"/>
          <w:lang w:val="fr-CH" w:eastAsia="en-GB"/>
        </w:rPr>
        <w:t>de supprimer des contrôles additionnels créant des barrières administratives à la libre circulation des marchandises.</w:t>
      </w:r>
    </w:p>
    <w:p w:rsidR="00CD4C7A" w:rsidRPr="00CD4C7A" w:rsidRDefault="00CD4C7A" w:rsidP="00CD4C7A">
      <w:pPr>
        <w:spacing w:after="0" w:line="240" w:lineRule="auto"/>
        <w:jc w:val="both"/>
        <w:rPr>
          <w:rFonts w:ascii="Arial" w:hAnsi="Arial" w:cs="Arial"/>
          <w:color w:val="000000"/>
          <w:lang w:val="fr-CH" w:eastAsia="en-GB"/>
        </w:rPr>
      </w:pPr>
    </w:p>
    <w:p w:rsidR="00CD4C7A" w:rsidRPr="00CD4C7A" w:rsidRDefault="00CD4C7A" w:rsidP="00CD4C7A">
      <w:pPr>
        <w:spacing w:after="120" w:line="240" w:lineRule="auto"/>
        <w:jc w:val="both"/>
        <w:rPr>
          <w:rFonts w:ascii="Arial" w:hAnsi="Arial" w:cs="Arial"/>
          <w:color w:val="000000"/>
          <w:lang w:val="fr-CH" w:eastAsia="en-GB"/>
        </w:rPr>
      </w:pPr>
      <w:r w:rsidRPr="00CD4C7A">
        <w:rPr>
          <w:rFonts w:ascii="Arial" w:hAnsi="Arial" w:cs="Arial"/>
          <w:color w:val="000000"/>
          <w:lang w:val="fr-CH" w:eastAsia="en-GB"/>
        </w:rPr>
        <w:t xml:space="preserve">Depuis 1996, la directive 96/98/CE a connu plusieurs amendements et modifications, justifiant </w:t>
      </w:r>
      <w:r w:rsidR="00745D88">
        <w:rPr>
          <w:rFonts w:ascii="Arial" w:hAnsi="Arial" w:cs="Arial"/>
          <w:color w:val="000000"/>
          <w:lang w:val="fr-CH" w:eastAsia="en-GB"/>
        </w:rPr>
        <w:t xml:space="preserve">sa </w:t>
      </w:r>
      <w:r w:rsidRPr="00CD4C7A">
        <w:rPr>
          <w:rFonts w:ascii="Arial" w:hAnsi="Arial" w:cs="Arial"/>
          <w:color w:val="000000"/>
          <w:lang w:val="fr-CH" w:eastAsia="en-GB"/>
        </w:rPr>
        <w:t>réécriture intégrale</w:t>
      </w:r>
      <w:r w:rsidR="00745D88">
        <w:rPr>
          <w:rFonts w:ascii="Arial" w:hAnsi="Arial" w:cs="Arial"/>
          <w:color w:val="000000"/>
          <w:lang w:val="fr-CH" w:eastAsia="en-GB"/>
        </w:rPr>
        <w:t xml:space="preserve"> par l</w:t>
      </w:r>
      <w:r w:rsidRPr="00CD4C7A">
        <w:rPr>
          <w:rFonts w:ascii="Arial" w:hAnsi="Arial" w:cs="Arial"/>
          <w:color w:val="000000"/>
          <w:lang w:val="fr-CH" w:eastAsia="en-GB"/>
        </w:rPr>
        <w:t>a directive 2014/90/UE</w:t>
      </w:r>
      <w:r w:rsidR="006E07E2">
        <w:rPr>
          <w:rFonts w:ascii="Arial" w:hAnsi="Arial" w:cs="Arial"/>
          <w:color w:val="000000"/>
          <w:lang w:val="fr-CH" w:eastAsia="en-GB"/>
        </w:rPr>
        <w:t xml:space="preserve"> qui </w:t>
      </w:r>
      <w:r w:rsidRPr="00CD4C7A">
        <w:rPr>
          <w:rFonts w:ascii="Arial" w:hAnsi="Arial" w:cs="Arial"/>
          <w:color w:val="000000"/>
          <w:lang w:val="fr-CH" w:eastAsia="en-GB"/>
        </w:rPr>
        <w:t>corrige</w:t>
      </w:r>
      <w:r w:rsidR="00745D88">
        <w:rPr>
          <w:rFonts w:ascii="Arial" w:hAnsi="Arial" w:cs="Arial"/>
          <w:color w:val="000000"/>
          <w:lang w:val="fr-CH" w:eastAsia="en-GB"/>
        </w:rPr>
        <w:t xml:space="preserve"> également l</w:t>
      </w:r>
      <w:r w:rsidRPr="00CD4C7A">
        <w:rPr>
          <w:rFonts w:ascii="Arial" w:hAnsi="Arial" w:cs="Arial"/>
          <w:color w:val="000000"/>
          <w:lang w:val="fr-CH" w:eastAsia="en-GB"/>
        </w:rPr>
        <w:t xml:space="preserve">es défauts </w:t>
      </w:r>
      <w:r w:rsidR="006E07E2">
        <w:rPr>
          <w:rFonts w:ascii="Arial" w:hAnsi="Arial" w:cs="Arial"/>
          <w:color w:val="000000"/>
          <w:lang w:val="fr-CH" w:eastAsia="en-GB"/>
        </w:rPr>
        <w:t xml:space="preserve">de la première </w:t>
      </w:r>
      <w:r w:rsidRPr="00CD4C7A">
        <w:rPr>
          <w:rFonts w:ascii="Arial" w:hAnsi="Arial" w:cs="Arial"/>
          <w:color w:val="000000"/>
          <w:lang w:val="fr-CH" w:eastAsia="en-GB"/>
        </w:rPr>
        <w:t xml:space="preserve">qui </w:t>
      </w:r>
      <w:r w:rsidR="00C762AA">
        <w:rPr>
          <w:rFonts w:ascii="Arial" w:hAnsi="Arial" w:cs="Arial"/>
          <w:color w:val="000000"/>
          <w:lang w:val="fr-CH" w:eastAsia="en-GB"/>
        </w:rPr>
        <w:t>subsistai</w:t>
      </w:r>
      <w:r w:rsidRPr="00CD4C7A">
        <w:rPr>
          <w:rFonts w:ascii="Arial" w:hAnsi="Arial" w:cs="Arial"/>
          <w:color w:val="000000"/>
          <w:lang w:val="fr-CH" w:eastAsia="en-GB"/>
        </w:rPr>
        <w:t xml:space="preserve">ent principalement </w:t>
      </w:r>
      <w:r w:rsidR="00C762AA">
        <w:rPr>
          <w:rFonts w:ascii="Arial" w:hAnsi="Arial" w:cs="Arial"/>
          <w:color w:val="000000"/>
          <w:lang w:val="fr-CH" w:eastAsia="en-GB"/>
        </w:rPr>
        <w:t>au niveau d</w:t>
      </w:r>
      <w:r w:rsidRPr="00CD4C7A">
        <w:rPr>
          <w:rFonts w:ascii="Arial" w:hAnsi="Arial" w:cs="Arial"/>
          <w:color w:val="000000"/>
          <w:lang w:val="fr-CH" w:eastAsia="en-GB"/>
        </w:rPr>
        <w:t xml:space="preserve">es </w:t>
      </w:r>
      <w:r w:rsidR="00745D88">
        <w:rPr>
          <w:rFonts w:ascii="Arial" w:hAnsi="Arial" w:cs="Arial"/>
          <w:color w:val="000000"/>
          <w:lang w:val="fr-CH" w:eastAsia="en-GB"/>
        </w:rPr>
        <w:t xml:space="preserve">quatre </w:t>
      </w:r>
      <w:r w:rsidRPr="00CD4C7A">
        <w:rPr>
          <w:rFonts w:ascii="Arial" w:hAnsi="Arial" w:cs="Arial"/>
          <w:color w:val="000000"/>
          <w:lang w:val="fr-CH" w:eastAsia="en-GB"/>
        </w:rPr>
        <w:t>points suivants :</w:t>
      </w:r>
    </w:p>
    <w:p w:rsidR="00CD4C7A" w:rsidRPr="00CD4C7A" w:rsidRDefault="00CD4C7A" w:rsidP="00AF1447">
      <w:pPr>
        <w:spacing w:after="0" w:line="240" w:lineRule="auto"/>
        <w:jc w:val="both"/>
        <w:rPr>
          <w:rFonts w:ascii="Arial" w:hAnsi="Arial" w:cs="Arial"/>
          <w:color w:val="000000"/>
          <w:lang w:val="fr-CH" w:eastAsia="en-GB"/>
        </w:rPr>
      </w:pPr>
      <w:r w:rsidRPr="00CD4C7A">
        <w:rPr>
          <w:rFonts w:ascii="Arial" w:hAnsi="Arial" w:cs="Arial"/>
          <w:color w:val="000000"/>
          <w:lang w:val="fr-CH" w:eastAsia="en-GB"/>
        </w:rPr>
        <w:t xml:space="preserve">1. </w:t>
      </w:r>
      <w:r w:rsidR="00C762AA" w:rsidRPr="00AF1447">
        <w:rPr>
          <w:rFonts w:ascii="Arial" w:hAnsi="Arial" w:cs="Arial"/>
          <w:color w:val="000000"/>
          <w:lang w:val="fr-CH" w:eastAsia="en-GB"/>
        </w:rPr>
        <w:t>L’</w:t>
      </w:r>
      <w:r w:rsidRPr="00CD4C7A">
        <w:rPr>
          <w:rFonts w:ascii="Arial" w:hAnsi="Arial" w:cs="Arial"/>
          <w:color w:val="000000"/>
          <w:lang w:val="fr-CH" w:eastAsia="en-GB"/>
        </w:rPr>
        <w:t>identification des critères techn</w:t>
      </w:r>
      <w:r w:rsidR="00C762AA" w:rsidRPr="00AF1447">
        <w:rPr>
          <w:rFonts w:ascii="Arial" w:hAnsi="Arial" w:cs="Arial"/>
          <w:color w:val="000000"/>
          <w:lang w:val="fr-CH" w:eastAsia="en-GB"/>
        </w:rPr>
        <w:t xml:space="preserve">iques et </w:t>
      </w:r>
      <w:r w:rsidR="00AF1447">
        <w:rPr>
          <w:rFonts w:ascii="Arial" w:hAnsi="Arial" w:cs="Arial"/>
          <w:color w:val="000000"/>
          <w:lang w:val="fr-CH" w:eastAsia="en-GB"/>
        </w:rPr>
        <w:t xml:space="preserve">des </w:t>
      </w:r>
      <w:r w:rsidR="00C762AA" w:rsidRPr="00AF1447">
        <w:rPr>
          <w:rFonts w:ascii="Arial" w:hAnsi="Arial" w:cs="Arial"/>
          <w:color w:val="000000"/>
          <w:lang w:val="fr-CH" w:eastAsia="en-GB"/>
        </w:rPr>
        <w:t>standards d’évaluation,</w:t>
      </w:r>
    </w:p>
    <w:p w:rsidR="00CD4C7A" w:rsidRPr="00CD4C7A" w:rsidRDefault="00CD4C7A" w:rsidP="00AF1447">
      <w:pPr>
        <w:spacing w:after="0" w:line="240" w:lineRule="auto"/>
        <w:jc w:val="both"/>
        <w:rPr>
          <w:rFonts w:ascii="Arial" w:hAnsi="Arial" w:cs="Arial"/>
          <w:color w:val="000000"/>
          <w:lang w:val="fr-CH" w:eastAsia="en-GB"/>
        </w:rPr>
      </w:pPr>
      <w:r w:rsidRPr="00CD4C7A">
        <w:rPr>
          <w:rFonts w:ascii="Arial" w:hAnsi="Arial" w:cs="Arial"/>
          <w:color w:val="000000"/>
          <w:lang w:val="fr-CH" w:eastAsia="en-GB"/>
        </w:rPr>
        <w:t>2. La qu</w:t>
      </w:r>
      <w:r w:rsidR="00C762AA" w:rsidRPr="00AF1447">
        <w:rPr>
          <w:rFonts w:ascii="Arial" w:hAnsi="Arial" w:cs="Arial"/>
          <w:color w:val="000000"/>
          <w:lang w:val="fr-CH" w:eastAsia="en-GB"/>
        </w:rPr>
        <w:t>alité des organismes notifiés,</w:t>
      </w:r>
    </w:p>
    <w:p w:rsidR="00CD4C7A" w:rsidRPr="00CD4C7A" w:rsidRDefault="00C762AA" w:rsidP="00AF1447">
      <w:pPr>
        <w:spacing w:after="0" w:line="240" w:lineRule="auto"/>
        <w:jc w:val="both"/>
        <w:rPr>
          <w:rFonts w:ascii="Arial" w:hAnsi="Arial" w:cs="Arial"/>
          <w:color w:val="000000"/>
          <w:lang w:val="fr-CH" w:eastAsia="en-GB"/>
        </w:rPr>
      </w:pPr>
      <w:r w:rsidRPr="00AF1447">
        <w:rPr>
          <w:rFonts w:ascii="Arial" w:hAnsi="Arial" w:cs="Arial"/>
          <w:color w:val="000000"/>
          <w:lang w:val="fr-CH" w:eastAsia="en-GB"/>
        </w:rPr>
        <w:t>3. La surveillance du marché,</w:t>
      </w:r>
    </w:p>
    <w:p w:rsidR="00CD4C7A" w:rsidRPr="00CD4C7A" w:rsidRDefault="00CD4C7A" w:rsidP="00AF1447">
      <w:pPr>
        <w:spacing w:after="0" w:line="240" w:lineRule="auto"/>
        <w:jc w:val="both"/>
        <w:rPr>
          <w:rFonts w:ascii="Arial" w:hAnsi="Arial" w:cs="Arial"/>
          <w:color w:val="000000"/>
          <w:lang w:val="fr-CH" w:eastAsia="en-GB"/>
        </w:rPr>
      </w:pPr>
      <w:r w:rsidRPr="00CD4C7A">
        <w:rPr>
          <w:rFonts w:ascii="Arial" w:hAnsi="Arial" w:cs="Arial"/>
          <w:color w:val="000000"/>
          <w:lang w:val="fr-CH" w:eastAsia="en-GB"/>
        </w:rPr>
        <w:t xml:space="preserve">4. </w:t>
      </w:r>
      <w:r w:rsidR="00AF1447" w:rsidRPr="00AF1447">
        <w:rPr>
          <w:rFonts w:ascii="Arial" w:hAnsi="Arial" w:cs="Arial"/>
          <w:color w:val="000000"/>
          <w:lang w:val="fr-CH" w:eastAsia="en-GB"/>
        </w:rPr>
        <w:t>La</w:t>
      </w:r>
      <w:r w:rsidRPr="00CD4C7A">
        <w:rPr>
          <w:rFonts w:ascii="Arial" w:hAnsi="Arial" w:cs="Arial"/>
          <w:color w:val="000000"/>
          <w:lang w:val="fr-CH" w:eastAsia="en-GB"/>
        </w:rPr>
        <w:t xml:space="preserve"> procédure de sauvegarde</w:t>
      </w:r>
      <w:r w:rsidR="00C762AA" w:rsidRPr="00AF1447">
        <w:rPr>
          <w:rFonts w:ascii="Arial" w:hAnsi="Arial" w:cs="Arial"/>
          <w:color w:val="000000"/>
          <w:lang w:val="fr-CH" w:eastAsia="en-GB"/>
        </w:rPr>
        <w:t>.</w:t>
      </w:r>
      <w:r w:rsidRPr="00CD4C7A">
        <w:rPr>
          <w:rFonts w:ascii="Arial" w:hAnsi="Arial" w:cs="Arial"/>
          <w:color w:val="000000"/>
          <w:lang w:val="fr-CH" w:eastAsia="en-GB"/>
        </w:rPr>
        <w:t xml:space="preserve"> </w:t>
      </w:r>
    </w:p>
    <w:p w:rsidR="00CD4C7A" w:rsidRPr="00CD4C7A" w:rsidRDefault="00CD4C7A" w:rsidP="00CD4C7A">
      <w:pPr>
        <w:spacing w:after="0" w:line="240" w:lineRule="auto"/>
        <w:jc w:val="both"/>
        <w:rPr>
          <w:rFonts w:ascii="Arial" w:hAnsi="Arial" w:cs="Arial"/>
          <w:color w:val="000000"/>
          <w:lang w:val="fr-CH" w:eastAsia="en-GB"/>
        </w:rPr>
      </w:pPr>
    </w:p>
    <w:p w:rsidR="00CD4C7A" w:rsidRPr="00CD4C7A" w:rsidRDefault="00AF1447" w:rsidP="00CD4C7A">
      <w:pPr>
        <w:spacing w:after="0" w:line="240" w:lineRule="auto"/>
        <w:jc w:val="both"/>
        <w:rPr>
          <w:rFonts w:ascii="Arial" w:hAnsi="Arial" w:cs="Arial"/>
          <w:color w:val="000000"/>
          <w:lang w:val="fr-CH" w:eastAsia="en-GB"/>
        </w:rPr>
      </w:pPr>
      <w:r>
        <w:rPr>
          <w:rFonts w:ascii="Arial" w:hAnsi="Arial" w:cs="Arial"/>
          <w:color w:val="000000"/>
          <w:lang w:val="fr-CH" w:eastAsia="en-GB"/>
        </w:rPr>
        <w:t xml:space="preserve">La transposition opérée tient compte de certaines </w:t>
      </w:r>
      <w:r w:rsidR="00CD4C7A" w:rsidRPr="00CD4C7A">
        <w:rPr>
          <w:rFonts w:ascii="Arial" w:hAnsi="Arial" w:cs="Arial"/>
          <w:color w:val="000000"/>
          <w:lang w:val="fr-CH" w:eastAsia="en-GB"/>
        </w:rPr>
        <w:t>spécificités du milieu maritime. Ainsi</w:t>
      </w:r>
      <w:r>
        <w:rPr>
          <w:rFonts w:ascii="Arial" w:hAnsi="Arial" w:cs="Arial"/>
          <w:color w:val="000000"/>
          <w:lang w:val="fr-CH" w:eastAsia="en-GB"/>
        </w:rPr>
        <w:t>, le</w:t>
      </w:r>
      <w:r w:rsidR="00CD4C7A" w:rsidRPr="00CD4C7A">
        <w:rPr>
          <w:rFonts w:ascii="Arial" w:hAnsi="Arial" w:cs="Arial"/>
          <w:color w:val="000000"/>
          <w:lang w:val="fr-CH" w:eastAsia="en-GB"/>
        </w:rPr>
        <w:t>s équipements marins sont en général intégrés au navire lors de leur construction ou de leur réparation sans passer par le marché luxembourgeois. Par ailleurs, parallèlement à toute surveillance du marché, le Commissaire aux affaires maritimes doit veiller à ce que les navires battant pavillon luxembourgeois remplissent leurs obligations en matière de sécurité, de sûreté, de protection de l’environnement marin et de la santé en mer. Il a donc pouvoir p</w:t>
      </w:r>
      <w:r w:rsidR="001F6CCD">
        <w:rPr>
          <w:rFonts w:ascii="Arial" w:hAnsi="Arial" w:cs="Arial"/>
          <w:color w:val="000000"/>
          <w:lang w:val="fr-CH" w:eastAsia="en-GB"/>
        </w:rPr>
        <w:t>our contrôler l’état du navire</w:t>
      </w:r>
      <w:r w:rsidR="00CD4C7A" w:rsidRPr="00CD4C7A">
        <w:rPr>
          <w:rFonts w:ascii="Arial" w:hAnsi="Arial" w:cs="Arial"/>
          <w:color w:val="000000"/>
          <w:lang w:val="fr-CH" w:eastAsia="en-GB"/>
        </w:rPr>
        <w:t>. En pratique, des organismes agréés peuvent être mandatés pour se rendre à bord. Ces organismes vérifie</w:t>
      </w:r>
      <w:r w:rsidR="006E07E2">
        <w:rPr>
          <w:rFonts w:ascii="Arial" w:hAnsi="Arial" w:cs="Arial"/>
          <w:color w:val="000000"/>
          <w:lang w:val="fr-CH" w:eastAsia="en-GB"/>
        </w:rPr>
        <w:t>nt</w:t>
      </w:r>
      <w:r w:rsidR="00CD4C7A" w:rsidRPr="00CD4C7A">
        <w:rPr>
          <w:rFonts w:ascii="Arial" w:hAnsi="Arial" w:cs="Arial"/>
          <w:color w:val="000000"/>
          <w:lang w:val="fr-CH" w:eastAsia="en-GB"/>
        </w:rPr>
        <w:t xml:space="preserve"> la conformité des équipements marins à bord et il en résulte qu’ils effectuent une partie de la surveillance du marché.</w:t>
      </w:r>
    </w:p>
    <w:p w:rsidR="00CD4C7A" w:rsidRPr="00CD4C7A" w:rsidRDefault="00CD4C7A" w:rsidP="00CD4C7A">
      <w:pPr>
        <w:spacing w:after="0" w:line="240" w:lineRule="auto"/>
        <w:jc w:val="both"/>
        <w:rPr>
          <w:rFonts w:ascii="Arial" w:hAnsi="Arial" w:cs="Arial"/>
          <w:color w:val="000000"/>
          <w:lang w:val="fr-CH" w:eastAsia="en-GB"/>
        </w:rPr>
      </w:pPr>
    </w:p>
    <w:p w:rsidR="00CD4C7A" w:rsidRPr="00CD4C7A" w:rsidRDefault="00CD4C7A" w:rsidP="00CD4C7A">
      <w:pPr>
        <w:spacing w:after="0" w:line="240" w:lineRule="auto"/>
        <w:jc w:val="both"/>
        <w:rPr>
          <w:rFonts w:ascii="Arial" w:hAnsi="Arial" w:cs="Arial"/>
          <w:color w:val="000000"/>
          <w:lang w:val="fr-CH" w:eastAsia="en-GB"/>
        </w:rPr>
      </w:pPr>
      <w:r w:rsidRPr="00CD4C7A">
        <w:rPr>
          <w:rFonts w:ascii="Arial" w:hAnsi="Arial" w:cs="Arial"/>
          <w:color w:val="000000"/>
          <w:lang w:val="fr-CH" w:eastAsia="en-GB"/>
        </w:rPr>
        <w:t xml:space="preserve">Le projet de loi </w:t>
      </w:r>
      <w:r w:rsidR="00AF1447">
        <w:rPr>
          <w:rFonts w:ascii="Arial" w:hAnsi="Arial" w:cs="Arial"/>
          <w:color w:val="000000"/>
          <w:lang w:val="fr-CH" w:eastAsia="en-GB"/>
        </w:rPr>
        <w:t>prévoit donc u</w:t>
      </w:r>
      <w:r w:rsidRPr="00CD4C7A">
        <w:rPr>
          <w:rFonts w:ascii="Arial" w:hAnsi="Arial" w:cs="Arial"/>
          <w:color w:val="000000"/>
          <w:lang w:val="fr-CH" w:eastAsia="en-GB"/>
        </w:rPr>
        <w:t>ne collaboration entre l’ILNAS et le Commissaire aux affaires maritimes.</w:t>
      </w:r>
    </w:p>
    <w:p w:rsidR="00CD4C7A" w:rsidRPr="00CD4C7A" w:rsidRDefault="00CD4C7A" w:rsidP="00CD4C7A">
      <w:pPr>
        <w:spacing w:after="0" w:line="240" w:lineRule="auto"/>
        <w:jc w:val="both"/>
        <w:rPr>
          <w:rFonts w:ascii="Arial" w:hAnsi="Arial" w:cs="Arial"/>
          <w:color w:val="000000"/>
          <w:lang w:val="fr-CH" w:eastAsia="en-GB"/>
        </w:rPr>
      </w:pPr>
    </w:p>
    <w:p w:rsidR="009029C8" w:rsidRDefault="00CD4C7A" w:rsidP="001F6CCD">
      <w:pPr>
        <w:spacing w:after="0" w:line="240" w:lineRule="auto"/>
        <w:jc w:val="both"/>
      </w:pPr>
      <w:r w:rsidRPr="00CD4C7A">
        <w:rPr>
          <w:rFonts w:ascii="Arial" w:hAnsi="Arial" w:cs="Arial"/>
          <w:color w:val="000000"/>
          <w:lang w:val="fr-CH" w:eastAsia="en-GB"/>
        </w:rPr>
        <w:t>A noter que le projet de loi ne comporte pas de dispositions dont l’application est susceptible de grever le budget de l’Etat.</w:t>
      </w:r>
    </w:p>
    <w:sectPr w:rsidR="00902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C7A"/>
    <w:rsid w:val="00043F1B"/>
    <w:rsid w:val="001F6CCD"/>
    <w:rsid w:val="0044613A"/>
    <w:rsid w:val="006E07E2"/>
    <w:rsid w:val="00745D88"/>
    <w:rsid w:val="009029C8"/>
    <w:rsid w:val="00AF1447"/>
    <w:rsid w:val="00C762AA"/>
    <w:rsid w:val="00CD4C7A"/>
    <w:rsid w:val="00EF323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B37BA7-9256-4E11-B78F-996C2CC0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DP6981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6981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/sftpecos/Dossiers_parlementaires/6981/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38B9F87-EBE4-41E1-BCC1-6BB9CDB1A04F}"/>
</file>

<file path=customXml/itemProps2.xml><?xml version="1.0" encoding="utf-8"?>
<ds:datastoreItem xmlns:ds="http://schemas.openxmlformats.org/officeDocument/2006/customXml" ds:itemID="{9877E984-50E3-467E-8982-2FC7D5F04FCD}"/>
</file>

<file path=customXml/itemProps3.xml><?xml version="1.0" encoding="utf-8"?>
<ds:datastoreItem xmlns:ds="http://schemas.openxmlformats.org/officeDocument/2006/customXml" ds:itemID="{CE3BFB49-D218-488B-9FA1-C9E2DC25C2B3}"/>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2818</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