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4C8" w:rsidRPr="00660610" w:rsidRDefault="005114C8" w:rsidP="00660610">
      <w:pPr>
        <w:pStyle w:val="Paragraphedeliste"/>
        <w:autoSpaceDE w:val="0"/>
        <w:autoSpaceDN w:val="0"/>
        <w:adjustRightInd w:val="0"/>
        <w:spacing w:after="0" w:line="240" w:lineRule="auto"/>
        <w:ind w:left="0"/>
        <w:jc w:val="both"/>
        <w:rPr>
          <w:rFonts w:ascii="Arial" w:hAnsi="Arial" w:cs="Arial"/>
          <w:b/>
          <w:bCs/>
          <w:lang w:eastAsia="fr-LU"/>
        </w:rPr>
      </w:pPr>
      <w:bookmarkStart w:id="0" w:name="_GoBack"/>
      <w:bookmarkEnd w:id="0"/>
      <w:r w:rsidRPr="00660610">
        <w:rPr>
          <w:rFonts w:ascii="Arial" w:hAnsi="Arial" w:cs="Arial"/>
          <w:b/>
          <w:bCs/>
          <w:lang w:eastAsia="fr-LU"/>
        </w:rPr>
        <w:t xml:space="preserve">Projet de loi </w:t>
      </w:r>
    </w:p>
    <w:p w:rsidR="005114C8" w:rsidRPr="00660610" w:rsidRDefault="005114C8" w:rsidP="00660610">
      <w:pPr>
        <w:pStyle w:val="Paragraphedeliste"/>
        <w:autoSpaceDE w:val="0"/>
        <w:autoSpaceDN w:val="0"/>
        <w:adjustRightInd w:val="0"/>
        <w:spacing w:after="0" w:line="240" w:lineRule="auto"/>
        <w:ind w:left="0"/>
        <w:jc w:val="both"/>
        <w:rPr>
          <w:rFonts w:ascii="Arial" w:hAnsi="Arial" w:cs="Arial"/>
          <w:b/>
          <w:bCs/>
          <w:lang w:eastAsia="fr-LU"/>
        </w:rPr>
      </w:pPr>
      <w:r w:rsidRPr="00660610">
        <w:rPr>
          <w:rFonts w:ascii="Arial" w:hAnsi="Arial" w:cs="Arial"/>
          <w:b/>
          <w:bCs/>
          <w:lang w:eastAsia="fr-LU"/>
        </w:rPr>
        <w:t>- portant introduction en matière de taxe d'abonnement de l'obligation de dépôt électronique des déclarations par les organismes de placement collectif et les fonds d'investissement ;</w:t>
      </w:r>
    </w:p>
    <w:p w:rsidR="005114C8" w:rsidRPr="00660610" w:rsidRDefault="005114C8" w:rsidP="00660610">
      <w:pPr>
        <w:pStyle w:val="Paragraphedeliste"/>
        <w:autoSpaceDE w:val="0"/>
        <w:autoSpaceDN w:val="0"/>
        <w:adjustRightInd w:val="0"/>
        <w:spacing w:after="0" w:line="240" w:lineRule="auto"/>
        <w:ind w:left="0"/>
        <w:jc w:val="both"/>
        <w:rPr>
          <w:rFonts w:ascii="Arial" w:hAnsi="Arial" w:cs="Arial"/>
          <w:b/>
          <w:bCs/>
          <w:lang w:eastAsia="fr-LU"/>
        </w:rPr>
      </w:pPr>
      <w:r w:rsidRPr="00660610">
        <w:rPr>
          <w:rFonts w:ascii="Arial" w:hAnsi="Arial" w:cs="Arial"/>
          <w:b/>
          <w:bCs/>
          <w:lang w:eastAsia="fr-LU"/>
        </w:rPr>
        <w:t>- modifiant la loi modifiée du 22 frimaire an VII organique de l'enregistrement;</w:t>
      </w:r>
    </w:p>
    <w:p w:rsidR="005114C8" w:rsidRPr="00660610" w:rsidRDefault="005114C8" w:rsidP="00660610">
      <w:pPr>
        <w:pStyle w:val="Paragraphedeliste"/>
        <w:autoSpaceDE w:val="0"/>
        <w:autoSpaceDN w:val="0"/>
        <w:adjustRightInd w:val="0"/>
        <w:spacing w:after="0" w:line="240" w:lineRule="auto"/>
        <w:ind w:left="0"/>
        <w:jc w:val="both"/>
        <w:rPr>
          <w:rFonts w:ascii="Arial" w:hAnsi="Arial" w:cs="Arial"/>
          <w:b/>
          <w:bCs/>
          <w:lang w:eastAsia="fr-LU"/>
        </w:rPr>
      </w:pPr>
      <w:r w:rsidRPr="00660610">
        <w:rPr>
          <w:rFonts w:ascii="Arial" w:hAnsi="Arial" w:cs="Arial"/>
          <w:b/>
          <w:bCs/>
          <w:lang w:eastAsia="fr-LU"/>
        </w:rPr>
        <w:t>- modifiant la loi modifiée du 21 ventôse an VII relative à l'organisation de la conservation des hypothèques ;</w:t>
      </w:r>
    </w:p>
    <w:p w:rsidR="005114C8" w:rsidRPr="00660610" w:rsidRDefault="005114C8" w:rsidP="00660610">
      <w:pPr>
        <w:pStyle w:val="Paragraphedeliste"/>
        <w:autoSpaceDE w:val="0"/>
        <w:autoSpaceDN w:val="0"/>
        <w:adjustRightInd w:val="0"/>
        <w:spacing w:after="0" w:line="240" w:lineRule="auto"/>
        <w:ind w:left="0"/>
        <w:jc w:val="both"/>
        <w:rPr>
          <w:rFonts w:ascii="Arial" w:hAnsi="Arial" w:cs="Arial"/>
          <w:b/>
          <w:bCs/>
          <w:lang w:eastAsia="fr-LU"/>
        </w:rPr>
      </w:pPr>
      <w:r w:rsidRPr="00660610">
        <w:rPr>
          <w:rFonts w:ascii="Arial" w:hAnsi="Arial" w:cs="Arial"/>
          <w:b/>
          <w:bCs/>
          <w:lang w:eastAsia="fr-LU"/>
        </w:rPr>
        <w:t>- modifiant l'article 2200 du Code civil ; et</w:t>
      </w:r>
    </w:p>
    <w:p w:rsidR="00140786" w:rsidRPr="00660610" w:rsidRDefault="005114C8" w:rsidP="00660610">
      <w:pPr>
        <w:pStyle w:val="Paragraphedeliste"/>
        <w:spacing w:after="0" w:line="240" w:lineRule="auto"/>
        <w:ind w:left="0"/>
        <w:rPr>
          <w:lang w:val="fr-LU"/>
        </w:rPr>
      </w:pPr>
      <w:r w:rsidRPr="00660610">
        <w:rPr>
          <w:rFonts w:ascii="Arial" w:hAnsi="Arial" w:cs="Arial"/>
          <w:b/>
          <w:bCs/>
          <w:lang w:eastAsia="fr-LU"/>
        </w:rPr>
        <w:t>- abrogeant l'article 2201 du Code civil</w:t>
      </w:r>
    </w:p>
    <w:p w:rsidR="00006463" w:rsidRPr="00A74C19" w:rsidRDefault="00006463" w:rsidP="00660610">
      <w:pPr>
        <w:jc w:val="both"/>
        <w:rPr>
          <w:lang w:val="fr-LU"/>
        </w:rPr>
      </w:pPr>
    </w:p>
    <w:p w:rsidR="004519DC" w:rsidRPr="000730F5" w:rsidRDefault="00243BEE" w:rsidP="00660610">
      <w:pPr>
        <w:tabs>
          <w:tab w:val="center" w:pos="4150"/>
          <w:tab w:val="left" w:pos="6075"/>
        </w:tabs>
        <w:jc w:val="both"/>
        <w:rPr>
          <w:rFonts w:ascii="Arial" w:eastAsia="Times New Roman" w:hAnsi="Arial" w:cs="Arial"/>
          <w:sz w:val="22"/>
          <w:szCs w:val="22"/>
          <w:lang w:val="fr-FR"/>
        </w:rPr>
      </w:pPr>
      <w:r w:rsidRPr="000730F5">
        <w:rPr>
          <w:rFonts w:ascii="Arial" w:eastAsia="Times New Roman" w:hAnsi="Arial" w:cs="Arial"/>
          <w:sz w:val="22"/>
          <w:szCs w:val="22"/>
          <w:lang w:val="fr-FR"/>
        </w:rPr>
        <w:t>Le projet de loi sous rubrique s'inscrit dans le cadre d'une modernisation des procédu</w:t>
      </w:r>
      <w:r w:rsidR="00660610" w:rsidRPr="000730F5">
        <w:rPr>
          <w:rFonts w:ascii="Arial" w:eastAsia="Times New Roman" w:hAnsi="Arial" w:cs="Arial"/>
          <w:sz w:val="22"/>
          <w:szCs w:val="22"/>
          <w:lang w:val="fr-FR"/>
        </w:rPr>
        <w:t>res applicables à l'A</w:t>
      </w:r>
      <w:r w:rsidRPr="000730F5">
        <w:rPr>
          <w:rFonts w:ascii="Arial" w:eastAsia="Times New Roman" w:hAnsi="Arial" w:cs="Arial"/>
          <w:sz w:val="22"/>
          <w:szCs w:val="22"/>
          <w:lang w:val="fr-FR"/>
        </w:rPr>
        <w:t xml:space="preserve">dministration de l'enregistrement et des domaines (AED) en matière de taxe d'abonnement, d'enregistrement et de régime hypothécaire. En ce qui concerne les deux dernières matières, il s'agit surtout de tirer les conséquences d'une dématérialisation des procédures réalisée à la suite de l'introduction d'outils informatiques - par l'application de la « Publicité foncière » entre l'AED, l'Administration du Cadastre et de la Topographie ainsi que le Centre des technologies de l'information de l'Etat (CTIE) - et rendant superflus </w:t>
      </w:r>
      <w:r w:rsidR="00D37D35" w:rsidRPr="000730F5">
        <w:rPr>
          <w:rFonts w:ascii="Arial" w:eastAsia="Times New Roman" w:hAnsi="Arial" w:cs="Arial"/>
          <w:sz w:val="22"/>
          <w:szCs w:val="22"/>
          <w:lang w:val="fr-FR"/>
        </w:rPr>
        <w:t>les registres sous forme papier (art. 2 à 4)</w:t>
      </w:r>
      <w:r w:rsidR="00660610" w:rsidRPr="000730F5">
        <w:rPr>
          <w:rFonts w:ascii="Arial" w:eastAsia="Times New Roman" w:hAnsi="Arial" w:cs="Arial"/>
          <w:sz w:val="22"/>
          <w:szCs w:val="22"/>
          <w:lang w:val="fr-FR"/>
        </w:rPr>
        <w:t>.</w:t>
      </w:r>
    </w:p>
    <w:p w:rsidR="00660610" w:rsidRDefault="00660610" w:rsidP="00660610">
      <w:pPr>
        <w:widowControl w:val="0"/>
        <w:autoSpaceDE w:val="0"/>
        <w:autoSpaceDN w:val="0"/>
        <w:adjustRightInd w:val="0"/>
        <w:jc w:val="both"/>
        <w:rPr>
          <w:rFonts w:ascii="Arial" w:hAnsi="Arial"/>
          <w:sz w:val="22"/>
          <w:szCs w:val="22"/>
          <w:lang w:val="fr-FR"/>
        </w:rPr>
      </w:pPr>
    </w:p>
    <w:p w:rsidR="004519DC" w:rsidRPr="000730F5" w:rsidRDefault="004519DC" w:rsidP="00660610">
      <w:pPr>
        <w:widowControl w:val="0"/>
        <w:autoSpaceDE w:val="0"/>
        <w:autoSpaceDN w:val="0"/>
        <w:adjustRightInd w:val="0"/>
        <w:jc w:val="both"/>
        <w:rPr>
          <w:rFonts w:ascii="Arial" w:eastAsia="Times New Roman" w:hAnsi="Arial" w:cs="Arial"/>
          <w:sz w:val="22"/>
          <w:szCs w:val="22"/>
          <w:lang w:val="fr-FR"/>
        </w:rPr>
      </w:pPr>
      <w:r w:rsidRPr="004519DC">
        <w:rPr>
          <w:rFonts w:ascii="Arial" w:hAnsi="Arial"/>
          <w:sz w:val="22"/>
          <w:szCs w:val="22"/>
          <w:lang w:val="fr-FR"/>
        </w:rPr>
        <w:t>Cette modernisation des procédures - combinée à l'objectif visant à améliorer l'efficacité de la gestion administrative interne - motive aussi l'introduction de l'obligation de faire parvenir sous forme électronique à l'administration leurs déclarations en matière de taxe d'abonnement, à l'instar du système « eTVA » qui a fait entretemps ses preuves pour les organismes de placement collectif et les fonds d'investissement qui sont redevables de cette taxe (art.1). </w:t>
      </w:r>
    </w:p>
    <w:p w:rsidR="00140786" w:rsidRPr="00A74C19" w:rsidRDefault="00140786" w:rsidP="00660610">
      <w:pPr>
        <w:jc w:val="both"/>
        <w:rPr>
          <w:rFonts w:ascii="Arial" w:hAnsi="Arial" w:cs="Arial"/>
          <w:b/>
          <w:noProof/>
          <w:sz w:val="22"/>
          <w:szCs w:val="22"/>
          <w:lang w:val="fr-FR"/>
        </w:rPr>
      </w:pPr>
    </w:p>
    <w:p w:rsidR="00B844C6" w:rsidRPr="00820F10" w:rsidRDefault="00B844C6" w:rsidP="00660610">
      <w:pPr>
        <w:rPr>
          <w:lang w:val="fr-LU"/>
        </w:rPr>
      </w:pPr>
    </w:p>
    <w:sectPr w:rsidR="00B844C6" w:rsidRPr="00820F10" w:rsidSect="00334DE4">
      <w:footerReference w:type="default" r:id="rId7"/>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7A" w:rsidRDefault="00430E7A" w:rsidP="005114C8">
      <w:r>
        <w:separator/>
      </w:r>
    </w:p>
  </w:endnote>
  <w:endnote w:type="continuationSeparator" w:id="0">
    <w:p w:rsidR="00430E7A" w:rsidRDefault="00430E7A" w:rsidP="005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C8" w:rsidRDefault="00430E7A">
    <w:pPr>
      <w:pStyle w:val="Pieddepage"/>
      <w:jc w:val="center"/>
    </w:pPr>
    <w:r>
      <w:fldChar w:fldCharType="begin"/>
    </w:r>
    <w:r>
      <w:instrText xml:space="preserve"> PAGE   \* MERGEFORMAT </w:instrText>
    </w:r>
    <w:r>
      <w:fldChar w:fldCharType="separate"/>
    </w:r>
    <w:r w:rsidR="00480C5D">
      <w:rPr>
        <w:noProof/>
      </w:rPr>
      <w:t>1</w:t>
    </w:r>
    <w:r>
      <w:rPr>
        <w:noProof/>
      </w:rPr>
      <w:fldChar w:fldCharType="end"/>
    </w:r>
  </w:p>
  <w:p w:rsidR="005114C8" w:rsidRDefault="005114C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7A" w:rsidRDefault="00430E7A" w:rsidP="005114C8">
      <w:r>
        <w:separator/>
      </w:r>
    </w:p>
  </w:footnote>
  <w:footnote w:type="continuationSeparator" w:id="0">
    <w:p w:rsidR="00430E7A" w:rsidRDefault="00430E7A" w:rsidP="005114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B90ACC"/>
    <w:multiLevelType w:val="hybridMultilevel"/>
    <w:tmpl w:val="2494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D3C52"/>
    <w:multiLevelType w:val="hybridMultilevel"/>
    <w:tmpl w:val="B954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259C3"/>
    <w:multiLevelType w:val="hybridMultilevel"/>
    <w:tmpl w:val="9B06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786"/>
    <w:rsid w:val="00006463"/>
    <w:rsid w:val="000437B9"/>
    <w:rsid w:val="000730F5"/>
    <w:rsid w:val="00140786"/>
    <w:rsid w:val="001624A4"/>
    <w:rsid w:val="00172AA1"/>
    <w:rsid w:val="001E7D7C"/>
    <w:rsid w:val="00243BEE"/>
    <w:rsid w:val="00334DE4"/>
    <w:rsid w:val="003A74FB"/>
    <w:rsid w:val="003E49A2"/>
    <w:rsid w:val="003F7DAC"/>
    <w:rsid w:val="00430E7A"/>
    <w:rsid w:val="004519DC"/>
    <w:rsid w:val="00454706"/>
    <w:rsid w:val="00480C5D"/>
    <w:rsid w:val="005114C8"/>
    <w:rsid w:val="005A28AD"/>
    <w:rsid w:val="005A5D3B"/>
    <w:rsid w:val="00660610"/>
    <w:rsid w:val="006921CB"/>
    <w:rsid w:val="00716071"/>
    <w:rsid w:val="00820F10"/>
    <w:rsid w:val="00887D68"/>
    <w:rsid w:val="0098238C"/>
    <w:rsid w:val="009C2B78"/>
    <w:rsid w:val="00A96EC6"/>
    <w:rsid w:val="00AA586D"/>
    <w:rsid w:val="00B77BF9"/>
    <w:rsid w:val="00B80893"/>
    <w:rsid w:val="00B844C6"/>
    <w:rsid w:val="00C86E56"/>
    <w:rsid w:val="00CF5D0A"/>
    <w:rsid w:val="00D26E5B"/>
    <w:rsid w:val="00D37D35"/>
    <w:rsid w:val="00D62947"/>
    <w:rsid w:val="00D8338B"/>
    <w:rsid w:val="00DC5721"/>
    <w:rsid w:val="00DF40BE"/>
    <w:rsid w:val="00E56EF7"/>
    <w:rsid w:val="00EC0CEF"/>
    <w:rsid w:val="00EC1044"/>
    <w:rsid w:val="00EF2550"/>
    <w:rsid w:val="00F3604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60DF362A-270F-4685-A9E0-96087CA8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86"/>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40786"/>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140786"/>
    <w:pPr>
      <w:spacing w:line="201" w:lineRule="atLeast"/>
    </w:pPr>
    <w:rPr>
      <w:rFonts w:cs="Times New Roman"/>
      <w:color w:val="auto"/>
      <w:lang w:eastAsia="en-US"/>
    </w:rPr>
  </w:style>
  <w:style w:type="paragraph" w:styleId="Paragraphedeliste">
    <w:name w:val="List Paragraph"/>
    <w:basedOn w:val="Normal"/>
    <w:uiPriority w:val="34"/>
    <w:qFormat/>
    <w:rsid w:val="00140786"/>
    <w:pPr>
      <w:spacing w:after="200" w:line="276" w:lineRule="auto"/>
      <w:ind w:left="720"/>
      <w:contextualSpacing/>
    </w:pPr>
    <w:rPr>
      <w:rFonts w:ascii="Calibri" w:eastAsia="Calibri" w:hAnsi="Calibri"/>
      <w:sz w:val="22"/>
      <w:szCs w:val="22"/>
      <w:lang w:val="fr-FR"/>
    </w:rPr>
  </w:style>
  <w:style w:type="paragraph" w:styleId="Sansinterligne">
    <w:name w:val="No Spacing"/>
    <w:uiPriority w:val="1"/>
    <w:qFormat/>
    <w:rsid w:val="00140786"/>
    <w:rPr>
      <w:rFonts w:eastAsia="Cambria"/>
      <w:sz w:val="24"/>
      <w:szCs w:val="24"/>
      <w:lang w:val="de-DE" w:eastAsia="en-US"/>
    </w:rPr>
  </w:style>
  <w:style w:type="paragraph" w:customStyle="1" w:styleId="Pa38">
    <w:name w:val="Pa38"/>
    <w:basedOn w:val="Default"/>
    <w:next w:val="Default"/>
    <w:uiPriority w:val="99"/>
    <w:rsid w:val="00140786"/>
    <w:pPr>
      <w:widowControl w:val="0"/>
      <w:spacing w:before="160" w:after="40" w:line="201" w:lineRule="atLeast"/>
    </w:pPr>
    <w:rPr>
      <w:rFonts w:ascii="Times New Roman" w:eastAsia="Times New Roman" w:hAnsi="Times New Roman" w:cs="Times New Roman"/>
      <w:color w:val="auto"/>
    </w:rPr>
  </w:style>
  <w:style w:type="character" w:styleId="Marquedecommentaire">
    <w:name w:val="annotation reference"/>
    <w:uiPriority w:val="99"/>
    <w:semiHidden/>
    <w:unhideWhenUsed/>
    <w:rsid w:val="0098238C"/>
    <w:rPr>
      <w:sz w:val="16"/>
      <w:szCs w:val="16"/>
    </w:rPr>
  </w:style>
  <w:style w:type="paragraph" w:styleId="Commentaire">
    <w:name w:val="annotation text"/>
    <w:basedOn w:val="Normal"/>
    <w:link w:val="CommentaireCar"/>
    <w:uiPriority w:val="99"/>
    <w:semiHidden/>
    <w:unhideWhenUsed/>
    <w:rsid w:val="0098238C"/>
    <w:rPr>
      <w:sz w:val="20"/>
      <w:szCs w:val="20"/>
    </w:rPr>
  </w:style>
  <w:style w:type="character" w:customStyle="1" w:styleId="CommentaireCar">
    <w:name w:val="Commentaire Car"/>
    <w:link w:val="Commentaire"/>
    <w:uiPriority w:val="99"/>
    <w:semiHidden/>
    <w:rsid w:val="0098238C"/>
    <w:rPr>
      <w:rFonts w:ascii="Cambria" w:eastAsia="Cambria" w:hAnsi="Cambria" w:cs="Times New Roman"/>
      <w:sz w:val="20"/>
      <w:szCs w:val="20"/>
      <w:lang w:val="de-DE"/>
    </w:rPr>
  </w:style>
  <w:style w:type="paragraph" w:styleId="Objetducommentaire">
    <w:name w:val="annotation subject"/>
    <w:basedOn w:val="Commentaire"/>
    <w:next w:val="Commentaire"/>
    <w:link w:val="ObjetducommentaireCar"/>
    <w:uiPriority w:val="99"/>
    <w:semiHidden/>
    <w:unhideWhenUsed/>
    <w:rsid w:val="0098238C"/>
    <w:rPr>
      <w:b/>
      <w:bCs/>
    </w:rPr>
  </w:style>
  <w:style w:type="character" w:customStyle="1" w:styleId="ObjetducommentaireCar">
    <w:name w:val="Objet du commentaire Car"/>
    <w:link w:val="Objetducommentaire"/>
    <w:uiPriority w:val="99"/>
    <w:semiHidden/>
    <w:rsid w:val="0098238C"/>
    <w:rPr>
      <w:rFonts w:ascii="Cambria" w:eastAsia="Cambria" w:hAnsi="Cambria" w:cs="Times New Roman"/>
      <w:b/>
      <w:bCs/>
      <w:sz w:val="20"/>
      <w:szCs w:val="20"/>
      <w:lang w:val="de-DE"/>
    </w:rPr>
  </w:style>
  <w:style w:type="paragraph" w:styleId="Textedebulles">
    <w:name w:val="Balloon Text"/>
    <w:basedOn w:val="Normal"/>
    <w:link w:val="TextedebullesCar"/>
    <w:uiPriority w:val="99"/>
    <w:semiHidden/>
    <w:unhideWhenUsed/>
    <w:rsid w:val="0098238C"/>
    <w:rPr>
      <w:rFonts w:ascii="Tahoma" w:hAnsi="Tahoma" w:cs="Tahoma"/>
      <w:sz w:val="16"/>
      <w:szCs w:val="16"/>
    </w:rPr>
  </w:style>
  <w:style w:type="character" w:customStyle="1" w:styleId="TextedebullesCar">
    <w:name w:val="Texte de bulles Car"/>
    <w:link w:val="Textedebulles"/>
    <w:uiPriority w:val="99"/>
    <w:semiHidden/>
    <w:rsid w:val="0098238C"/>
    <w:rPr>
      <w:rFonts w:ascii="Tahoma" w:eastAsia="Cambria" w:hAnsi="Tahoma" w:cs="Tahoma"/>
      <w:sz w:val="16"/>
      <w:szCs w:val="16"/>
      <w:lang w:val="de-DE"/>
    </w:rPr>
  </w:style>
  <w:style w:type="paragraph" w:styleId="NormalWeb">
    <w:name w:val="Normal (Web)"/>
    <w:basedOn w:val="Normal"/>
    <w:uiPriority w:val="99"/>
    <w:unhideWhenUsed/>
    <w:rsid w:val="005114C8"/>
    <w:rPr>
      <w:rFonts w:ascii="Times New Roman" w:eastAsia="Times New Roman" w:hAnsi="Times New Roman"/>
      <w:lang w:val="fr-LU" w:eastAsia="fr-LU"/>
    </w:rPr>
  </w:style>
  <w:style w:type="paragraph" w:styleId="En-tte">
    <w:name w:val="header"/>
    <w:basedOn w:val="Normal"/>
    <w:link w:val="En-tteCar"/>
    <w:uiPriority w:val="99"/>
    <w:semiHidden/>
    <w:unhideWhenUsed/>
    <w:rsid w:val="005114C8"/>
    <w:pPr>
      <w:tabs>
        <w:tab w:val="center" w:pos="4513"/>
        <w:tab w:val="right" w:pos="9026"/>
      </w:tabs>
    </w:pPr>
  </w:style>
  <w:style w:type="character" w:customStyle="1" w:styleId="En-tteCar">
    <w:name w:val="En-tête Car"/>
    <w:link w:val="En-tte"/>
    <w:uiPriority w:val="99"/>
    <w:semiHidden/>
    <w:rsid w:val="005114C8"/>
    <w:rPr>
      <w:rFonts w:ascii="Cambria" w:eastAsia="Cambria" w:hAnsi="Cambria" w:cs="Times New Roman"/>
      <w:lang w:val="de-DE"/>
    </w:rPr>
  </w:style>
  <w:style w:type="paragraph" w:styleId="Pieddepage">
    <w:name w:val="footer"/>
    <w:basedOn w:val="Normal"/>
    <w:link w:val="PieddepageCar"/>
    <w:uiPriority w:val="99"/>
    <w:unhideWhenUsed/>
    <w:rsid w:val="005114C8"/>
    <w:pPr>
      <w:tabs>
        <w:tab w:val="center" w:pos="4513"/>
        <w:tab w:val="right" w:pos="9026"/>
      </w:tabs>
    </w:pPr>
  </w:style>
  <w:style w:type="character" w:customStyle="1" w:styleId="PieddepageCar">
    <w:name w:val="Pied de page Car"/>
    <w:link w:val="Pieddepage"/>
    <w:uiPriority w:val="99"/>
    <w:rsid w:val="005114C8"/>
    <w:rPr>
      <w:rFonts w:ascii="Cambria" w:eastAsia="Cambria" w:hAnsi="Cambria"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69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C9D1E89-0D65-43FD-AE80-E7F9A10AA256}"/>
</file>

<file path=customXml/itemProps2.xml><?xml version="1.0" encoding="utf-8"?>
<ds:datastoreItem xmlns:ds="http://schemas.openxmlformats.org/officeDocument/2006/customXml" ds:itemID="{AC6A7B5A-D707-4341-95A9-45FED3A05A46}"/>
</file>

<file path=customXml/itemProps3.xml><?xml version="1.0" encoding="utf-8"?>
<ds:datastoreItem xmlns:ds="http://schemas.openxmlformats.org/officeDocument/2006/customXml" ds:itemID="{E4A89C55-74B8-4EB9-A15D-C41C37C016F7}"/>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1385</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