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119" w:rsidRPr="00C0638D" w:rsidRDefault="00B568CC" w:rsidP="00003119">
      <w:pPr>
        <w:jc w:val="both"/>
        <w:rPr>
          <w:rFonts w:ascii="Arial" w:hAnsi="Arial" w:cs="Arial"/>
          <w:sz w:val="22"/>
          <w:szCs w:val="22"/>
        </w:rPr>
      </w:pPr>
      <w:bookmarkStart w:id="0" w:name="_GoBack"/>
      <w:bookmarkEnd w:id="0"/>
      <w:r>
        <w:rPr>
          <w:rFonts w:ascii="Arial" w:hAnsi="Arial" w:cs="Arial"/>
          <w:sz w:val="22"/>
          <w:szCs w:val="22"/>
        </w:rPr>
        <w:t>L</w:t>
      </w:r>
      <w:r w:rsidR="00003119" w:rsidRPr="00C0638D">
        <w:rPr>
          <w:rFonts w:ascii="Arial" w:hAnsi="Arial" w:cs="Arial"/>
          <w:sz w:val="22"/>
          <w:szCs w:val="22"/>
        </w:rPr>
        <w:t xml:space="preserve">e projet </w:t>
      </w:r>
      <w:r w:rsidR="00003119">
        <w:rPr>
          <w:rFonts w:ascii="Arial" w:hAnsi="Arial" w:cs="Arial"/>
          <w:sz w:val="22"/>
          <w:szCs w:val="22"/>
        </w:rPr>
        <w:t xml:space="preserve">de loi </w:t>
      </w:r>
      <w:r w:rsidR="00003119" w:rsidRPr="00C0638D">
        <w:rPr>
          <w:rFonts w:ascii="Arial" w:hAnsi="Arial" w:cs="Arial"/>
          <w:sz w:val="22"/>
          <w:szCs w:val="22"/>
        </w:rPr>
        <w:t>a pour objet d’exécuter la décision (UE) 2015/1814 concernant la création et le fonctionnement d’une réserve de stabilité du marché pour le système d’échange de quotas d’émission de gaz à effet de serre de l’union et modifiant la directive 2003/87/CE.</w:t>
      </w:r>
    </w:p>
    <w:p w:rsidR="00003119" w:rsidRPr="00C0638D" w:rsidRDefault="00003119" w:rsidP="00003119">
      <w:pPr>
        <w:jc w:val="both"/>
        <w:rPr>
          <w:rFonts w:ascii="Arial" w:hAnsi="Arial" w:cs="Arial"/>
          <w:sz w:val="22"/>
          <w:szCs w:val="22"/>
        </w:rPr>
      </w:pPr>
    </w:p>
    <w:p w:rsidR="00003119" w:rsidRPr="00C0638D" w:rsidRDefault="00003119" w:rsidP="00003119">
      <w:pPr>
        <w:jc w:val="both"/>
        <w:rPr>
          <w:rFonts w:ascii="Arial" w:hAnsi="Arial" w:cs="Arial"/>
          <w:sz w:val="22"/>
          <w:szCs w:val="22"/>
        </w:rPr>
      </w:pPr>
      <w:r w:rsidRPr="00C0638D">
        <w:rPr>
          <w:rFonts w:ascii="Arial" w:hAnsi="Arial" w:cs="Arial"/>
          <w:sz w:val="22"/>
          <w:szCs w:val="22"/>
        </w:rPr>
        <w:t>Cette décision, qui introduit des mesures visant à lutter contre les déséquilibres structurels entre l’offre et la demande dans le cadre du système d’échange de quotas d’émission (SEQE) de l’Union européenne, constitue une étape importante dans la lutte contre le changement climatique et ouvre la voie à un réexamen approfondi du SEQE de l’UE.</w:t>
      </w:r>
    </w:p>
    <w:p w:rsidR="00003119" w:rsidRPr="00C0638D" w:rsidRDefault="00003119" w:rsidP="00003119">
      <w:pPr>
        <w:jc w:val="both"/>
        <w:rPr>
          <w:rFonts w:ascii="Arial" w:hAnsi="Arial" w:cs="Arial"/>
          <w:sz w:val="22"/>
          <w:szCs w:val="22"/>
        </w:rPr>
      </w:pPr>
    </w:p>
    <w:p w:rsidR="00003119" w:rsidRPr="00C0638D" w:rsidRDefault="00003119" w:rsidP="00003119">
      <w:pPr>
        <w:jc w:val="both"/>
        <w:rPr>
          <w:rFonts w:ascii="Arial" w:hAnsi="Arial" w:cs="Arial"/>
          <w:sz w:val="22"/>
          <w:szCs w:val="22"/>
        </w:rPr>
      </w:pPr>
      <w:r w:rsidRPr="00C0638D">
        <w:rPr>
          <w:rFonts w:ascii="Arial" w:hAnsi="Arial" w:cs="Arial"/>
          <w:sz w:val="22"/>
          <w:szCs w:val="22"/>
        </w:rPr>
        <w:t>Etant donné que la décision adapte la directive 2003/87/CE, il y a lieu de modifier en conséquence les articles 11 et 14 de la loi</w:t>
      </w:r>
      <w:r w:rsidR="00571B92">
        <w:rPr>
          <w:rFonts w:ascii="Arial" w:hAnsi="Arial" w:cs="Arial"/>
          <w:sz w:val="22"/>
          <w:szCs w:val="22"/>
        </w:rPr>
        <w:t xml:space="preserve"> modifiée du 23 décembre 2004</w:t>
      </w:r>
      <w:r w:rsidRPr="00C0638D">
        <w:rPr>
          <w:rFonts w:ascii="Arial" w:hAnsi="Arial" w:cs="Arial"/>
          <w:sz w:val="22"/>
          <w:szCs w:val="22"/>
        </w:rPr>
        <w:t xml:space="preserve"> établissant un système d’échange de quotas d’émission de gaz à effet de serre</w:t>
      </w:r>
      <w:r w:rsidR="00571B92">
        <w:rPr>
          <w:rFonts w:ascii="Arial" w:hAnsi="Arial" w:cs="Arial"/>
          <w:sz w:val="22"/>
          <w:szCs w:val="22"/>
        </w:rPr>
        <w:t>.</w:t>
      </w:r>
    </w:p>
    <w:p w:rsidR="00003119" w:rsidRPr="00C0638D" w:rsidRDefault="00003119" w:rsidP="00003119">
      <w:pPr>
        <w:jc w:val="both"/>
        <w:rPr>
          <w:rFonts w:ascii="Arial" w:hAnsi="Arial" w:cs="Arial"/>
          <w:sz w:val="22"/>
          <w:szCs w:val="22"/>
        </w:rPr>
      </w:pPr>
    </w:p>
    <w:p w:rsidR="00003119" w:rsidRPr="00C0638D" w:rsidRDefault="00003119" w:rsidP="00003119">
      <w:pPr>
        <w:jc w:val="both"/>
        <w:rPr>
          <w:rFonts w:ascii="Arial" w:hAnsi="Arial" w:cs="Arial"/>
          <w:sz w:val="22"/>
          <w:szCs w:val="22"/>
        </w:rPr>
      </w:pPr>
      <w:r w:rsidRPr="00C0638D">
        <w:rPr>
          <w:rFonts w:ascii="Arial" w:hAnsi="Arial" w:cs="Arial"/>
          <w:sz w:val="22"/>
          <w:szCs w:val="22"/>
        </w:rPr>
        <w:t>La décision (UE) 2015/1814 a été générée suite au constat que, depuis 2009, un excédent de quotas d’émission s’est accumulé dans le système, atteignant environ 2,1 milliards de quotas d’émission en 2013, ce qui a entraîné une diminution notable du prix du carbone. Par ailleurs, on s’attend à ce que l’excédent structurel perdure dans le système jusqu’en 2020 et au-delà.</w:t>
      </w:r>
    </w:p>
    <w:p w:rsidR="00003119" w:rsidRPr="00C0638D" w:rsidRDefault="00003119" w:rsidP="00003119">
      <w:pPr>
        <w:jc w:val="both"/>
        <w:rPr>
          <w:rFonts w:ascii="Arial" w:hAnsi="Arial" w:cs="Arial"/>
          <w:sz w:val="22"/>
          <w:szCs w:val="22"/>
        </w:rPr>
      </w:pPr>
    </w:p>
    <w:p w:rsidR="00003119" w:rsidRPr="0001210F" w:rsidRDefault="00003119" w:rsidP="00E2320F">
      <w:pPr>
        <w:pStyle w:val="Sansinterligne"/>
        <w:jc w:val="both"/>
        <w:rPr>
          <w:rFonts w:ascii="Arial" w:hAnsi="Arial" w:cs="Arial"/>
          <w:bCs/>
          <w:sz w:val="22"/>
          <w:szCs w:val="22"/>
          <w:lang w:val="fr-LU" w:eastAsia="fr-LU"/>
        </w:rPr>
      </w:pPr>
      <w:r w:rsidRPr="00C0638D">
        <w:rPr>
          <w:rFonts w:ascii="Arial" w:hAnsi="Arial" w:cs="Arial"/>
          <w:sz w:val="22"/>
          <w:szCs w:val="22"/>
        </w:rPr>
        <w:t xml:space="preserve">Afin de corriger les déséquilibres qui existent actuellement sur le marché et d’éviter des problèmes similaires à l’avenir, </w:t>
      </w:r>
      <w:r w:rsidR="00571B92">
        <w:rPr>
          <w:rFonts w:ascii="Arial" w:hAnsi="Arial" w:cs="Arial"/>
          <w:sz w:val="22"/>
          <w:szCs w:val="22"/>
        </w:rPr>
        <w:t>le</w:t>
      </w:r>
      <w:r w:rsidRPr="0001210F">
        <w:rPr>
          <w:rFonts w:ascii="Arial" w:hAnsi="Arial" w:cs="Arial"/>
          <w:sz w:val="22"/>
          <w:szCs w:val="22"/>
        </w:rPr>
        <w:t xml:space="preserve"> texte final de la décision, qui est le résultat d’un compromis </w:t>
      </w:r>
      <w:r w:rsidRPr="0001210F">
        <w:rPr>
          <w:rFonts w:ascii="Arial" w:hAnsi="Arial" w:cs="Arial"/>
          <w:bCs/>
          <w:sz w:val="22"/>
          <w:szCs w:val="22"/>
          <w:lang w:val="fr-LU" w:eastAsia="fr-LU"/>
        </w:rPr>
        <w:t>interinstitutionnel, prévoit ce qui suit :</w:t>
      </w:r>
    </w:p>
    <w:p w:rsidR="00003119" w:rsidRPr="00C0638D" w:rsidRDefault="00003119" w:rsidP="00003119">
      <w:pPr>
        <w:jc w:val="both"/>
        <w:rPr>
          <w:rFonts w:ascii="Arial" w:hAnsi="Arial" w:cs="Arial"/>
          <w:sz w:val="22"/>
          <w:szCs w:val="22"/>
        </w:rPr>
      </w:pPr>
    </w:p>
    <w:p w:rsidR="00003119" w:rsidRPr="00C0638D" w:rsidRDefault="00003119" w:rsidP="00003119">
      <w:pPr>
        <w:numPr>
          <w:ilvl w:val="0"/>
          <w:numId w:val="1"/>
        </w:numPr>
        <w:jc w:val="both"/>
        <w:rPr>
          <w:rFonts w:ascii="Arial" w:hAnsi="Arial" w:cs="Arial"/>
          <w:sz w:val="22"/>
          <w:szCs w:val="22"/>
        </w:rPr>
      </w:pPr>
      <w:r w:rsidRPr="00C0638D">
        <w:rPr>
          <w:rFonts w:ascii="Arial" w:hAnsi="Arial" w:cs="Arial"/>
          <w:sz w:val="22"/>
          <w:szCs w:val="22"/>
        </w:rPr>
        <w:t xml:space="preserve">une réserve de stabilité du marché sera créée en 2018 et sera opérationnelle à </w:t>
      </w:r>
      <w:r>
        <w:rPr>
          <w:rFonts w:ascii="Arial" w:hAnsi="Arial" w:cs="Arial"/>
          <w:sz w:val="22"/>
          <w:szCs w:val="22"/>
        </w:rPr>
        <w:t>parti</w:t>
      </w:r>
      <w:r w:rsidRPr="00C0638D">
        <w:rPr>
          <w:rFonts w:ascii="Arial" w:hAnsi="Arial" w:cs="Arial"/>
          <w:sz w:val="22"/>
          <w:szCs w:val="22"/>
        </w:rPr>
        <w:t>r du 1</w:t>
      </w:r>
      <w:r w:rsidRPr="004546AC">
        <w:rPr>
          <w:rStyle w:val="A8"/>
          <w:rFonts w:ascii="Arial" w:hAnsi="Arial" w:cs="Arial"/>
          <w:sz w:val="22"/>
          <w:szCs w:val="22"/>
          <w:vertAlign w:val="superscript"/>
        </w:rPr>
        <w:t>er</w:t>
      </w:r>
      <w:r w:rsidRPr="00C0638D">
        <w:rPr>
          <w:rStyle w:val="A8"/>
          <w:rFonts w:ascii="Arial" w:hAnsi="Arial" w:cs="Arial"/>
          <w:sz w:val="22"/>
          <w:szCs w:val="22"/>
        </w:rPr>
        <w:t xml:space="preserve"> </w:t>
      </w:r>
      <w:r w:rsidRPr="00C0638D">
        <w:rPr>
          <w:rFonts w:ascii="Arial" w:hAnsi="Arial" w:cs="Arial"/>
          <w:sz w:val="22"/>
          <w:szCs w:val="22"/>
        </w:rPr>
        <w:t>janvier 2019</w:t>
      </w:r>
      <w:r>
        <w:rPr>
          <w:rFonts w:ascii="Arial" w:hAnsi="Arial" w:cs="Arial"/>
          <w:sz w:val="22"/>
          <w:szCs w:val="22"/>
        </w:rPr>
        <w:t> ;</w:t>
      </w:r>
    </w:p>
    <w:p w:rsidR="00003119" w:rsidRPr="00C0638D" w:rsidRDefault="00003119" w:rsidP="00003119">
      <w:pPr>
        <w:numPr>
          <w:ilvl w:val="0"/>
          <w:numId w:val="1"/>
        </w:numPr>
        <w:jc w:val="both"/>
        <w:rPr>
          <w:rFonts w:ascii="Arial" w:hAnsi="Arial" w:cs="Arial"/>
          <w:sz w:val="22"/>
          <w:szCs w:val="22"/>
        </w:rPr>
      </w:pPr>
      <w:r w:rsidRPr="00C0638D">
        <w:rPr>
          <w:rFonts w:ascii="Arial" w:hAnsi="Arial" w:cs="Arial"/>
          <w:sz w:val="22"/>
          <w:szCs w:val="22"/>
        </w:rPr>
        <w:t xml:space="preserve">les </w:t>
      </w:r>
      <w:r>
        <w:rPr>
          <w:rFonts w:ascii="Arial" w:hAnsi="Arial" w:cs="Arial"/>
          <w:sz w:val="22"/>
          <w:szCs w:val="22"/>
        </w:rPr>
        <w:t>« </w:t>
      </w:r>
      <w:r w:rsidRPr="00C0638D">
        <w:rPr>
          <w:rFonts w:ascii="Arial" w:hAnsi="Arial" w:cs="Arial"/>
          <w:sz w:val="22"/>
          <w:szCs w:val="22"/>
        </w:rPr>
        <w:t>quotas gelés</w:t>
      </w:r>
      <w:r>
        <w:rPr>
          <w:rFonts w:ascii="Arial" w:hAnsi="Arial" w:cs="Arial"/>
          <w:sz w:val="22"/>
          <w:szCs w:val="22"/>
        </w:rPr>
        <w:t> »</w:t>
      </w:r>
      <w:r w:rsidRPr="00C0638D">
        <w:rPr>
          <w:rFonts w:ascii="Arial" w:hAnsi="Arial" w:cs="Arial"/>
          <w:sz w:val="22"/>
          <w:szCs w:val="22"/>
        </w:rPr>
        <w:t xml:space="preserve"> (c’est-à-dire les 900 millions de quotas dont la mise aux enchères a été reportée de la période 2014-2016 jusqu’en 2019 ou 2020) seront placés dans la réserve de marché</w:t>
      </w:r>
      <w:r>
        <w:rPr>
          <w:rFonts w:ascii="Arial" w:hAnsi="Arial" w:cs="Arial"/>
          <w:sz w:val="22"/>
          <w:szCs w:val="22"/>
        </w:rPr>
        <w:t> ;</w:t>
      </w:r>
    </w:p>
    <w:p w:rsidR="00003119" w:rsidRPr="00C0638D" w:rsidRDefault="00003119" w:rsidP="00003119">
      <w:pPr>
        <w:numPr>
          <w:ilvl w:val="0"/>
          <w:numId w:val="1"/>
        </w:numPr>
        <w:jc w:val="both"/>
        <w:rPr>
          <w:rFonts w:ascii="Arial" w:hAnsi="Arial" w:cs="Arial"/>
          <w:sz w:val="22"/>
          <w:szCs w:val="22"/>
        </w:rPr>
      </w:pPr>
      <w:r w:rsidRPr="00C0638D">
        <w:rPr>
          <w:rFonts w:ascii="Arial" w:hAnsi="Arial" w:cs="Arial"/>
          <w:sz w:val="22"/>
          <w:szCs w:val="22"/>
        </w:rPr>
        <w:t>les quotas non attribués seront directement transférés à la réserve de stabilité du marché en 2020 et leur utilisation future sera examinée lors du rée</w:t>
      </w:r>
      <w:r>
        <w:rPr>
          <w:rFonts w:ascii="Arial" w:hAnsi="Arial" w:cs="Arial"/>
          <w:sz w:val="22"/>
          <w:szCs w:val="22"/>
        </w:rPr>
        <w:t>xamen approfondi du SEQE ;</w:t>
      </w:r>
    </w:p>
    <w:p w:rsidR="00003119" w:rsidRPr="00C0638D" w:rsidRDefault="00003119" w:rsidP="00003119">
      <w:pPr>
        <w:numPr>
          <w:ilvl w:val="0"/>
          <w:numId w:val="1"/>
        </w:numPr>
        <w:jc w:val="both"/>
        <w:rPr>
          <w:rFonts w:ascii="Arial" w:hAnsi="Arial" w:cs="Arial"/>
          <w:sz w:val="22"/>
          <w:szCs w:val="22"/>
        </w:rPr>
      </w:pPr>
      <w:r w:rsidRPr="00C0638D">
        <w:rPr>
          <w:rFonts w:ascii="Arial" w:hAnsi="Arial" w:cs="Arial"/>
          <w:sz w:val="22"/>
          <w:szCs w:val="22"/>
        </w:rPr>
        <w:t>le</w:t>
      </w:r>
      <w:r>
        <w:rPr>
          <w:rFonts w:ascii="Arial" w:hAnsi="Arial" w:cs="Arial"/>
          <w:sz w:val="22"/>
          <w:szCs w:val="22"/>
        </w:rPr>
        <w:t>s 10% de quotas relevant de la « </w:t>
      </w:r>
      <w:r w:rsidRPr="00C0638D">
        <w:rPr>
          <w:rFonts w:ascii="Arial" w:hAnsi="Arial" w:cs="Arial"/>
          <w:sz w:val="22"/>
          <w:szCs w:val="22"/>
        </w:rPr>
        <w:t>composante de solidarité</w:t>
      </w:r>
      <w:r>
        <w:rPr>
          <w:rFonts w:ascii="Arial" w:hAnsi="Arial" w:cs="Arial"/>
          <w:sz w:val="22"/>
          <w:szCs w:val="22"/>
        </w:rPr>
        <w:t> » -</w:t>
      </w:r>
      <w:r w:rsidRPr="00C0638D">
        <w:rPr>
          <w:rFonts w:ascii="Arial" w:hAnsi="Arial" w:cs="Arial"/>
          <w:sz w:val="22"/>
          <w:szCs w:val="22"/>
        </w:rPr>
        <w:t xml:space="preserve"> qui sont attribuées à certains </w:t>
      </w:r>
      <w:r>
        <w:rPr>
          <w:rFonts w:ascii="Arial" w:hAnsi="Arial" w:cs="Arial"/>
          <w:sz w:val="22"/>
          <w:szCs w:val="22"/>
        </w:rPr>
        <w:t>État</w:t>
      </w:r>
      <w:r w:rsidRPr="00C0638D">
        <w:rPr>
          <w:rFonts w:ascii="Arial" w:hAnsi="Arial" w:cs="Arial"/>
          <w:sz w:val="22"/>
          <w:szCs w:val="22"/>
        </w:rPr>
        <w:t>s membres de l’UE en Europe centrale et orientale -</w:t>
      </w:r>
      <w:r>
        <w:rPr>
          <w:rFonts w:ascii="Arial" w:hAnsi="Arial" w:cs="Arial"/>
          <w:sz w:val="22"/>
          <w:szCs w:val="22"/>
        </w:rPr>
        <w:t xml:space="preserve"> </w:t>
      </w:r>
      <w:r w:rsidRPr="00C0638D">
        <w:rPr>
          <w:rFonts w:ascii="Arial" w:hAnsi="Arial" w:cs="Arial"/>
          <w:sz w:val="22"/>
          <w:szCs w:val="22"/>
        </w:rPr>
        <w:t>seront temporairement exclus du champ d’application de la réserve de stabilité du marché jusqu’à la fin de 2025</w:t>
      </w:r>
      <w:r>
        <w:rPr>
          <w:rFonts w:ascii="Arial" w:hAnsi="Arial" w:cs="Arial"/>
          <w:sz w:val="22"/>
          <w:szCs w:val="22"/>
        </w:rPr>
        <w:t> ;</w:t>
      </w:r>
    </w:p>
    <w:p w:rsidR="00003119" w:rsidRPr="00C0638D" w:rsidRDefault="00003119" w:rsidP="00003119">
      <w:pPr>
        <w:numPr>
          <w:ilvl w:val="0"/>
          <w:numId w:val="1"/>
        </w:numPr>
        <w:jc w:val="both"/>
        <w:rPr>
          <w:rFonts w:ascii="Arial" w:hAnsi="Arial" w:cs="Arial"/>
          <w:sz w:val="22"/>
          <w:szCs w:val="22"/>
        </w:rPr>
      </w:pPr>
      <w:r w:rsidRPr="00C0638D">
        <w:rPr>
          <w:rFonts w:ascii="Arial" w:hAnsi="Arial" w:cs="Arial"/>
          <w:sz w:val="22"/>
          <w:szCs w:val="22"/>
        </w:rPr>
        <w:t>le réexamen du SEQE permettra d’envisager l’utilisation éventuelle d’un nombre limité de quotas avant 2021, pour compléter les ressources existantes servant à promouvoir le captage et le stockage du CO</w:t>
      </w:r>
      <w:r w:rsidRPr="00C0638D">
        <w:rPr>
          <w:rStyle w:val="A9"/>
          <w:rFonts w:ascii="Arial" w:hAnsi="Arial" w:cs="Arial"/>
          <w:sz w:val="22"/>
          <w:szCs w:val="22"/>
        </w:rPr>
        <w:t>2</w:t>
      </w:r>
      <w:r w:rsidRPr="00C0638D">
        <w:rPr>
          <w:rFonts w:ascii="Arial" w:hAnsi="Arial" w:cs="Arial"/>
          <w:sz w:val="22"/>
          <w:szCs w:val="22"/>
        </w:rPr>
        <w:t>, les énergies renouvelables et les projets d’innovation industrielle à faible intensité de carbone</w:t>
      </w:r>
      <w:r>
        <w:rPr>
          <w:rFonts w:ascii="Arial" w:hAnsi="Arial" w:cs="Arial"/>
          <w:sz w:val="22"/>
          <w:szCs w:val="22"/>
        </w:rPr>
        <w:t> ;</w:t>
      </w:r>
    </w:p>
    <w:p w:rsidR="00003119" w:rsidRPr="00C0638D" w:rsidRDefault="00003119" w:rsidP="00003119">
      <w:pPr>
        <w:numPr>
          <w:ilvl w:val="0"/>
          <w:numId w:val="1"/>
        </w:numPr>
        <w:jc w:val="both"/>
        <w:rPr>
          <w:rFonts w:ascii="Arial" w:hAnsi="Arial" w:cs="Arial"/>
          <w:sz w:val="22"/>
          <w:szCs w:val="22"/>
        </w:rPr>
      </w:pPr>
      <w:r w:rsidRPr="00C0638D">
        <w:rPr>
          <w:rFonts w:ascii="Arial" w:hAnsi="Arial" w:cs="Arial"/>
          <w:sz w:val="22"/>
          <w:szCs w:val="22"/>
        </w:rPr>
        <w:t>les réexamens du SEQE et de la réserve de stabilité du marché tiendront compte des aspects liés à la fuite de carbone et à la compétitivité, ainsi que des questions relatives à l’emploi et au PIB.</w:t>
      </w:r>
    </w:p>
    <w:p w:rsidR="00003119" w:rsidRDefault="00003119" w:rsidP="00003119">
      <w:pPr>
        <w:jc w:val="both"/>
        <w:rPr>
          <w:rFonts w:ascii="Arial" w:hAnsi="Arial" w:cs="Arial"/>
          <w:sz w:val="22"/>
          <w:szCs w:val="22"/>
        </w:rPr>
      </w:pPr>
    </w:p>
    <w:sectPr w:rsidR="00003119"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72736"/>
    <w:multiLevelType w:val="hybridMultilevel"/>
    <w:tmpl w:val="DEDAFAFE"/>
    <w:lvl w:ilvl="0" w:tplc="E5C68E40">
      <w:numFmt w:val="bullet"/>
      <w:lvlText w:val="-"/>
      <w:lvlJc w:val="left"/>
      <w:pPr>
        <w:ind w:left="36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EC7"/>
    <w:rsid w:val="00003119"/>
    <w:rsid w:val="001832DD"/>
    <w:rsid w:val="001A00C6"/>
    <w:rsid w:val="00380F41"/>
    <w:rsid w:val="00514DC5"/>
    <w:rsid w:val="0056693C"/>
    <w:rsid w:val="00571B92"/>
    <w:rsid w:val="005E534C"/>
    <w:rsid w:val="008834CA"/>
    <w:rsid w:val="00A12716"/>
    <w:rsid w:val="00B568CC"/>
    <w:rsid w:val="00BB1BA2"/>
    <w:rsid w:val="00C36BC0"/>
    <w:rsid w:val="00C76E87"/>
    <w:rsid w:val="00E2320F"/>
    <w:rsid w:val="00E34EC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9F2BC07-FC38-4951-929A-1DCD881C4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119"/>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8834CA"/>
    <w:rPr>
      <w:b/>
      <w:caps/>
      <w:sz w:val="32"/>
      <w:u w:val="double"/>
      <w:lang w:val="fr-FR" w:eastAsia="fr-FR"/>
    </w:rPr>
  </w:style>
  <w:style w:type="character" w:customStyle="1" w:styleId="Titre2Car">
    <w:name w:val="Titre 2 Car"/>
    <w:link w:val="Titre2"/>
    <w:rsid w:val="008834CA"/>
    <w:rPr>
      <w:b/>
      <w:smallCaps/>
      <w:sz w:val="32"/>
      <w:u w:val="single"/>
      <w:lang w:val="fr-FR" w:eastAsia="fr-FR"/>
    </w:rPr>
  </w:style>
  <w:style w:type="character" w:customStyle="1" w:styleId="Titre3Car">
    <w:name w:val="Titre 3 Car"/>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link w:val="Titre4"/>
    <w:rsid w:val="008834CA"/>
    <w:rPr>
      <w:b/>
      <w:i/>
      <w:sz w:val="28"/>
      <w:u w:val="words"/>
      <w:lang w:val="fr-FR" w:eastAsia="fr-FR"/>
    </w:rPr>
  </w:style>
  <w:style w:type="character" w:customStyle="1" w:styleId="Titre5Car">
    <w:name w:val="Titre 5 Car"/>
    <w:link w:val="Titre5"/>
    <w:rsid w:val="008834CA"/>
    <w:rPr>
      <w:b/>
      <w:lang w:val="fr-FR" w:eastAsia="fr-FR"/>
    </w:rPr>
  </w:style>
  <w:style w:type="character" w:customStyle="1" w:styleId="Titre6Car">
    <w:name w:val="Titre 6 Car"/>
    <w:link w:val="Titre6"/>
    <w:rsid w:val="008834CA"/>
    <w:rPr>
      <w:u w:val="single"/>
      <w:lang w:val="fr-FR" w:eastAsia="fr-FR"/>
    </w:rPr>
  </w:style>
  <w:style w:type="character" w:customStyle="1" w:styleId="Titre7Car">
    <w:name w:val="Titre 7 Car"/>
    <w:link w:val="Titre7"/>
    <w:rsid w:val="008834CA"/>
    <w:rPr>
      <w:i/>
      <w:lang w:val="fr-FR" w:eastAsia="fr-FR"/>
    </w:rPr>
  </w:style>
  <w:style w:type="character" w:customStyle="1" w:styleId="Titre8Car">
    <w:name w:val="Titre 8 Car"/>
    <w:link w:val="Titre8"/>
    <w:rsid w:val="008834CA"/>
    <w:rPr>
      <w:i/>
      <w:lang w:val="fr-FR" w:eastAsia="fr-FR"/>
    </w:rPr>
  </w:style>
  <w:style w:type="character" w:customStyle="1" w:styleId="Titre9Car">
    <w:name w:val="Titre 9 Car"/>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 w:type="paragraph" w:customStyle="1" w:styleId="Pa10">
    <w:name w:val="Pa10"/>
    <w:basedOn w:val="Normal"/>
    <w:next w:val="Normal"/>
    <w:uiPriority w:val="99"/>
    <w:rsid w:val="00E34EC7"/>
    <w:pPr>
      <w:autoSpaceDE w:val="0"/>
      <w:autoSpaceDN w:val="0"/>
      <w:adjustRightInd w:val="0"/>
      <w:spacing w:line="221" w:lineRule="atLeast"/>
    </w:pPr>
    <w:rPr>
      <w:rFonts w:ascii="Swis721 BT" w:hAnsi="Swis721 BT"/>
      <w:sz w:val="24"/>
      <w:szCs w:val="24"/>
      <w:lang w:val="fr-LU" w:eastAsia="fr-LU"/>
    </w:rPr>
  </w:style>
  <w:style w:type="paragraph" w:customStyle="1" w:styleId="Pa11">
    <w:name w:val="Pa11"/>
    <w:basedOn w:val="Normal"/>
    <w:next w:val="Normal"/>
    <w:uiPriority w:val="99"/>
    <w:rsid w:val="00E34EC7"/>
    <w:pPr>
      <w:autoSpaceDE w:val="0"/>
      <w:autoSpaceDN w:val="0"/>
      <w:adjustRightInd w:val="0"/>
      <w:spacing w:line="201" w:lineRule="atLeast"/>
    </w:pPr>
    <w:rPr>
      <w:rFonts w:ascii="Swis721 BT" w:hAnsi="Swis721 BT"/>
      <w:sz w:val="24"/>
      <w:szCs w:val="24"/>
      <w:lang w:val="fr-LU" w:eastAsia="fr-LU"/>
    </w:rPr>
  </w:style>
  <w:style w:type="paragraph" w:customStyle="1" w:styleId="Pa6">
    <w:name w:val="Pa6"/>
    <w:basedOn w:val="Normal"/>
    <w:next w:val="Normal"/>
    <w:uiPriority w:val="99"/>
    <w:rsid w:val="00E34EC7"/>
    <w:pPr>
      <w:autoSpaceDE w:val="0"/>
      <w:autoSpaceDN w:val="0"/>
      <w:adjustRightInd w:val="0"/>
      <w:spacing w:line="201" w:lineRule="atLeast"/>
    </w:pPr>
    <w:rPr>
      <w:rFonts w:ascii="Swis721 BT" w:hAnsi="Swis721 BT"/>
      <w:sz w:val="24"/>
      <w:szCs w:val="24"/>
      <w:lang w:val="fr-LU" w:eastAsia="fr-LU"/>
    </w:rPr>
  </w:style>
  <w:style w:type="paragraph" w:customStyle="1" w:styleId="Default">
    <w:name w:val="Default"/>
    <w:rsid w:val="00E34EC7"/>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BB1BA2"/>
    <w:rPr>
      <w:rFonts w:ascii="Tahoma" w:hAnsi="Tahoma" w:cs="Tahoma"/>
      <w:sz w:val="16"/>
      <w:szCs w:val="16"/>
    </w:rPr>
  </w:style>
  <w:style w:type="character" w:customStyle="1" w:styleId="TextedebullesCar">
    <w:name w:val="Texte de bulles Car"/>
    <w:link w:val="Textedebulles"/>
    <w:uiPriority w:val="99"/>
    <w:semiHidden/>
    <w:rsid w:val="00BB1BA2"/>
    <w:rPr>
      <w:rFonts w:ascii="Tahoma" w:hAnsi="Tahoma" w:cs="Tahoma"/>
      <w:sz w:val="16"/>
      <w:szCs w:val="16"/>
      <w:lang w:val="fr-FR" w:eastAsia="fr-FR"/>
    </w:rPr>
  </w:style>
  <w:style w:type="character" w:customStyle="1" w:styleId="A8">
    <w:name w:val="A8"/>
    <w:uiPriority w:val="99"/>
    <w:rsid w:val="00003119"/>
    <w:rPr>
      <w:color w:val="000000"/>
      <w:sz w:val="15"/>
      <w:szCs w:val="15"/>
    </w:rPr>
  </w:style>
  <w:style w:type="character" w:customStyle="1" w:styleId="A9">
    <w:name w:val="A9"/>
    <w:uiPriority w:val="99"/>
    <w:rsid w:val="00003119"/>
    <w:rPr>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DP6917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6917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/sftpecos/Dossiers_parlementaires/6917/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AE5573B-7769-44A6-8761-070514001328}"/>
</file>

<file path=customXml/itemProps2.xml><?xml version="1.0" encoding="utf-8"?>
<ds:datastoreItem xmlns:ds="http://schemas.openxmlformats.org/officeDocument/2006/customXml" ds:itemID="{7F2435D5-318A-4205-AAE2-DB916615475D}"/>
</file>

<file path=customXml/itemProps3.xml><?xml version="1.0" encoding="utf-8"?>
<ds:datastoreItem xmlns:ds="http://schemas.openxmlformats.org/officeDocument/2006/customXml" ds:itemID="{E49F07A1-D715-4B9E-B531-4402B6B5D8DD}"/>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2292</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2016-04-13T06:37:00Z</cp:lastPrinted>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