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A8" w:rsidRPr="00E5005D" w:rsidRDefault="00D76A6B" w:rsidP="00C625A8">
      <w:pPr>
        <w:autoSpaceDE w:val="0"/>
        <w:autoSpaceDN w:val="0"/>
        <w:adjustRightInd w:val="0"/>
        <w:jc w:val="center"/>
        <w:rPr>
          <w:rFonts w:ascii="Arial" w:hAnsi="Arial" w:cs="Arial"/>
          <w:b/>
          <w:sz w:val="24"/>
          <w:szCs w:val="24"/>
          <w:lang w:eastAsia="fr-FR"/>
        </w:rPr>
      </w:pPr>
      <w:bookmarkStart w:id="0" w:name="_GoBack"/>
      <w:bookmarkEnd w:id="0"/>
      <w:r w:rsidRPr="00E5005D">
        <w:rPr>
          <w:rFonts w:ascii="Arial" w:hAnsi="Arial" w:cs="Arial"/>
          <w:b/>
          <w:sz w:val="24"/>
          <w:szCs w:val="24"/>
          <w:lang w:eastAsia="fr-FR"/>
        </w:rPr>
        <w:t>6892</w:t>
      </w:r>
    </w:p>
    <w:p w:rsidR="009553F6" w:rsidRPr="00E5005D" w:rsidRDefault="009553F6" w:rsidP="00C625A8">
      <w:pPr>
        <w:autoSpaceDE w:val="0"/>
        <w:autoSpaceDN w:val="0"/>
        <w:adjustRightInd w:val="0"/>
        <w:jc w:val="center"/>
        <w:rPr>
          <w:rFonts w:ascii="Arial" w:hAnsi="Arial" w:cs="Arial"/>
          <w:sz w:val="24"/>
          <w:szCs w:val="24"/>
          <w:lang w:eastAsia="fr-FR"/>
        </w:rPr>
      </w:pPr>
    </w:p>
    <w:p w:rsidR="006E5E8A" w:rsidRPr="00E5005D" w:rsidRDefault="006E5E8A" w:rsidP="006E5E8A">
      <w:pPr>
        <w:spacing w:after="0" w:line="240" w:lineRule="auto"/>
        <w:jc w:val="center"/>
        <w:rPr>
          <w:rFonts w:ascii="Arial" w:eastAsia="Times New Roman" w:hAnsi="Arial"/>
          <w:b/>
          <w:sz w:val="24"/>
          <w:szCs w:val="24"/>
          <w:lang w:val="fr-FR" w:eastAsia="fr-FR"/>
        </w:rPr>
      </w:pPr>
      <w:r w:rsidRPr="00E5005D">
        <w:rPr>
          <w:rFonts w:ascii="Arial" w:eastAsia="Times New Roman" w:hAnsi="Arial"/>
          <w:b/>
          <w:sz w:val="24"/>
          <w:szCs w:val="24"/>
          <w:lang w:val="fr-FR" w:eastAsia="fr-FR"/>
        </w:rPr>
        <w:t>PROJET DE LOI portant</w:t>
      </w:r>
    </w:p>
    <w:p w:rsidR="006E5E8A" w:rsidRPr="00E5005D" w:rsidRDefault="006E5E8A" w:rsidP="006E5E8A">
      <w:pPr>
        <w:spacing w:after="0" w:line="240" w:lineRule="auto"/>
        <w:jc w:val="center"/>
        <w:rPr>
          <w:rFonts w:ascii="Arial" w:eastAsia="Times New Roman" w:hAnsi="Arial"/>
          <w:b/>
          <w:sz w:val="24"/>
          <w:szCs w:val="24"/>
          <w:lang w:val="fr-FR" w:eastAsia="fr-FR"/>
        </w:rPr>
      </w:pPr>
    </w:p>
    <w:p w:rsidR="006E5E8A" w:rsidRPr="00E5005D" w:rsidRDefault="006E5E8A" w:rsidP="006E5E8A">
      <w:pPr>
        <w:numPr>
          <w:ilvl w:val="0"/>
          <w:numId w:val="1"/>
        </w:numPr>
        <w:spacing w:line="254" w:lineRule="auto"/>
        <w:jc w:val="center"/>
        <w:rPr>
          <w:rFonts w:ascii="Arial" w:hAnsi="Arial"/>
          <w:b/>
          <w:sz w:val="24"/>
          <w:szCs w:val="24"/>
        </w:rPr>
      </w:pPr>
      <w:r w:rsidRPr="00E5005D">
        <w:rPr>
          <w:rFonts w:ascii="Arial" w:hAnsi="Arial"/>
          <w:b/>
          <w:sz w:val="24"/>
          <w:szCs w:val="24"/>
        </w:rPr>
        <w:t>modification du Code du travail ;</w:t>
      </w:r>
    </w:p>
    <w:p w:rsidR="006E5E8A" w:rsidRPr="00E5005D" w:rsidRDefault="006E5E8A" w:rsidP="006E5E8A">
      <w:pPr>
        <w:numPr>
          <w:ilvl w:val="0"/>
          <w:numId w:val="1"/>
        </w:numPr>
        <w:tabs>
          <w:tab w:val="left" w:pos="709"/>
        </w:tabs>
        <w:spacing w:line="252" w:lineRule="auto"/>
        <w:contextualSpacing/>
        <w:jc w:val="both"/>
        <w:rPr>
          <w:rFonts w:ascii="Arial" w:hAnsi="Arial" w:cs="Arial"/>
          <w:b/>
          <w:sz w:val="24"/>
          <w:szCs w:val="24"/>
        </w:rPr>
      </w:pPr>
      <w:r w:rsidRPr="00E5005D">
        <w:rPr>
          <w:rFonts w:ascii="Arial" w:hAnsi="Arial" w:cs="Arial"/>
          <w:b/>
          <w:sz w:val="24"/>
          <w:szCs w:val="24"/>
        </w:rPr>
        <w:t>modification de l’article 2 de la loi modifiée du 21 décembre 2007 portant règlementation du financement des partis politiques</w:t>
      </w:r>
    </w:p>
    <w:p w:rsidR="006E5E8A" w:rsidRPr="007467FA" w:rsidRDefault="006E5E8A" w:rsidP="00925CC1">
      <w:pPr>
        <w:spacing w:after="0" w:line="240" w:lineRule="auto"/>
        <w:jc w:val="center"/>
        <w:rPr>
          <w:rFonts w:ascii="Arial" w:eastAsia="Times New Roman" w:hAnsi="Arial"/>
          <w:b/>
          <w:lang w:val="fr-FR" w:eastAsia="fr-FR"/>
        </w:rPr>
      </w:pPr>
    </w:p>
    <w:p w:rsidR="00925CC1" w:rsidRPr="00E5005D" w:rsidRDefault="00925CC1" w:rsidP="00C625A8">
      <w:pPr>
        <w:rPr>
          <w:rFonts w:ascii="Arial" w:hAnsi="Arial" w:cs="Arial"/>
        </w:rPr>
      </w:pPr>
    </w:p>
    <w:p w:rsidR="00C80BD6" w:rsidRPr="00F67F3C" w:rsidRDefault="00C80BD6" w:rsidP="00C80BD6">
      <w:pPr>
        <w:spacing w:after="200" w:line="276" w:lineRule="auto"/>
        <w:jc w:val="both"/>
        <w:rPr>
          <w:rFonts w:ascii="Arial" w:eastAsia="Times New Roman" w:hAnsi="Arial" w:cs="Arial"/>
          <w:bCs/>
          <w:lang w:eastAsia="fr-FR"/>
        </w:rPr>
      </w:pPr>
      <w:r w:rsidRPr="00F67F3C">
        <w:rPr>
          <w:rFonts w:ascii="Arial" w:eastAsia="Times New Roman" w:hAnsi="Arial" w:cs="Arial"/>
          <w:bCs/>
          <w:lang w:eastAsia="fr-FR"/>
        </w:rPr>
        <w:t>Dans son programme d</w:t>
      </w:r>
      <w:r>
        <w:rPr>
          <w:rFonts w:ascii="Arial" w:eastAsia="Times New Roman" w:hAnsi="Arial" w:cs="Arial"/>
          <w:bCs/>
          <w:lang w:eastAsia="fr-FR"/>
        </w:rPr>
        <w:t>e 2013, le G</w:t>
      </w:r>
      <w:r w:rsidRPr="00F67F3C">
        <w:rPr>
          <w:rFonts w:ascii="Arial" w:eastAsia="Times New Roman" w:hAnsi="Arial" w:cs="Arial"/>
          <w:bCs/>
          <w:lang w:eastAsia="fr-FR"/>
        </w:rPr>
        <w:t>ouvernemen</w:t>
      </w:r>
      <w:r>
        <w:rPr>
          <w:rFonts w:ascii="Arial" w:eastAsia="Times New Roman" w:hAnsi="Arial" w:cs="Arial"/>
          <w:bCs/>
          <w:lang w:eastAsia="fr-FR"/>
        </w:rPr>
        <w:t xml:space="preserve">t nouvellement en place s’était engagé à abolir les </w:t>
      </w:r>
      <w:r w:rsidRPr="00F67F3C">
        <w:rPr>
          <w:rFonts w:ascii="Arial" w:eastAsia="Times New Roman" w:hAnsi="Arial" w:cs="Arial"/>
          <w:bCs/>
          <w:lang w:eastAsia="fr-FR"/>
        </w:rPr>
        <w:t xml:space="preserve">inégalités salariales entre femmes et hommes « </w:t>
      </w:r>
      <w:r w:rsidRPr="00F67F3C">
        <w:rPr>
          <w:rFonts w:ascii="Arial" w:eastAsia="Times New Roman" w:hAnsi="Arial" w:cs="Arial"/>
          <w:bCs/>
          <w:i/>
          <w:lang w:eastAsia="fr-FR"/>
        </w:rPr>
        <w:t>par la force de la loi</w:t>
      </w:r>
      <w:r>
        <w:rPr>
          <w:rFonts w:ascii="Arial" w:eastAsia="Times New Roman" w:hAnsi="Arial" w:cs="Arial"/>
          <w:bCs/>
          <w:lang w:eastAsia="fr-FR"/>
        </w:rPr>
        <w:t> »</w:t>
      </w:r>
      <w:r w:rsidRPr="00F67F3C">
        <w:rPr>
          <w:rFonts w:ascii="Arial" w:eastAsia="Times New Roman" w:hAnsi="Arial" w:cs="Arial"/>
          <w:bCs/>
          <w:lang w:eastAsia="fr-FR"/>
        </w:rPr>
        <w:t>.</w:t>
      </w:r>
    </w:p>
    <w:p w:rsidR="00C80BD6" w:rsidRPr="00F67F3C" w:rsidRDefault="00C80BD6" w:rsidP="00C80BD6">
      <w:pPr>
        <w:spacing w:after="200" w:line="276" w:lineRule="auto"/>
        <w:jc w:val="both"/>
        <w:rPr>
          <w:rFonts w:ascii="Arial" w:eastAsia="Times New Roman" w:hAnsi="Arial" w:cs="Arial"/>
          <w:bCs/>
          <w:lang w:eastAsia="fr-FR"/>
        </w:rPr>
      </w:pPr>
      <w:r>
        <w:rPr>
          <w:rFonts w:ascii="Arial" w:eastAsia="Times New Roman" w:hAnsi="Arial" w:cs="Arial"/>
          <w:bCs/>
          <w:lang w:eastAsia="fr-FR"/>
        </w:rPr>
        <w:t>Par le biais du PL 6892, d</w:t>
      </w:r>
      <w:r w:rsidRPr="00F67F3C">
        <w:rPr>
          <w:rFonts w:ascii="Arial" w:eastAsia="Times New Roman" w:hAnsi="Arial" w:cs="Arial"/>
          <w:bCs/>
          <w:lang w:eastAsia="fr-FR"/>
        </w:rPr>
        <w:t>es dispositions relatives à l’égalité salariale entr</w:t>
      </w:r>
      <w:r>
        <w:rPr>
          <w:rFonts w:ascii="Arial" w:eastAsia="Times New Roman" w:hAnsi="Arial" w:cs="Arial"/>
          <w:bCs/>
          <w:lang w:eastAsia="fr-FR"/>
        </w:rPr>
        <w:t xml:space="preserve">e hommes et femmes seront </w:t>
      </w:r>
      <w:r w:rsidRPr="00F67F3C">
        <w:rPr>
          <w:rFonts w:ascii="Arial" w:eastAsia="Times New Roman" w:hAnsi="Arial" w:cs="Arial"/>
          <w:bCs/>
          <w:lang w:eastAsia="fr-FR"/>
        </w:rPr>
        <w:t xml:space="preserve">désormais inscrites dans la loi, au Code </w:t>
      </w:r>
      <w:r>
        <w:rPr>
          <w:rFonts w:ascii="Arial" w:eastAsia="Times New Roman" w:hAnsi="Arial" w:cs="Arial"/>
          <w:bCs/>
          <w:lang w:eastAsia="fr-FR"/>
        </w:rPr>
        <w:t>du travail, éléments déjà esquissés dans la proposition de loi n</w:t>
      </w:r>
      <w:r w:rsidRPr="00F67F3C">
        <w:rPr>
          <w:rFonts w:ascii="Arial" w:eastAsia="Times New Roman" w:hAnsi="Arial" w:cs="Arial"/>
          <w:bCs/>
          <w:lang w:eastAsia="fr-FR"/>
        </w:rPr>
        <w:t>° 6611 relative à l’égalité salariale entre hommes et femmes, déposée par Monsieur le Député Lucien Lux en septembre 2013 et reprise par Madame la Députée Cécile Hemmen en mars 2014.</w:t>
      </w:r>
    </w:p>
    <w:p w:rsidR="00C80BD6" w:rsidRPr="00F67F3C" w:rsidRDefault="00C80BD6" w:rsidP="00C80BD6">
      <w:pPr>
        <w:spacing w:after="200" w:line="276" w:lineRule="auto"/>
        <w:jc w:val="both"/>
        <w:rPr>
          <w:rFonts w:ascii="Arial" w:eastAsia="Times New Roman" w:hAnsi="Arial" w:cs="Arial"/>
          <w:bCs/>
          <w:lang w:eastAsia="fr-FR"/>
        </w:rPr>
      </w:pPr>
      <w:r>
        <w:rPr>
          <w:rFonts w:ascii="Arial" w:eastAsia="Times New Roman" w:hAnsi="Arial" w:cs="Arial"/>
          <w:bCs/>
          <w:lang w:eastAsia="fr-FR"/>
        </w:rPr>
        <w:t>A</w:t>
      </w:r>
      <w:r w:rsidRPr="00F67F3C">
        <w:rPr>
          <w:rFonts w:ascii="Arial" w:eastAsia="Times New Roman" w:hAnsi="Arial" w:cs="Arial"/>
          <w:bCs/>
          <w:lang w:eastAsia="fr-FR"/>
        </w:rPr>
        <w:t>v</w:t>
      </w:r>
      <w:r>
        <w:rPr>
          <w:rFonts w:ascii="Arial" w:eastAsia="Times New Roman" w:hAnsi="Arial" w:cs="Arial"/>
          <w:bCs/>
          <w:lang w:eastAsia="fr-FR"/>
        </w:rPr>
        <w:t xml:space="preserve">ec l’introduction d’un </w:t>
      </w:r>
      <w:r w:rsidRPr="00C80BD6">
        <w:rPr>
          <w:rFonts w:ascii="Arial" w:eastAsia="Times New Roman" w:hAnsi="Arial" w:cs="Arial"/>
          <w:b/>
          <w:bCs/>
          <w:lang w:eastAsia="fr-FR"/>
        </w:rPr>
        <w:t>nouveau Chapitre V au Titre II du Livre II du Code du travail</w:t>
      </w:r>
      <w:r>
        <w:rPr>
          <w:rFonts w:ascii="Arial" w:eastAsia="Times New Roman" w:hAnsi="Arial" w:cs="Arial"/>
          <w:bCs/>
          <w:lang w:eastAsia="fr-FR"/>
        </w:rPr>
        <w:t xml:space="preserve">, </w:t>
      </w:r>
      <w:r w:rsidRPr="00F67F3C">
        <w:rPr>
          <w:rFonts w:ascii="Arial" w:eastAsia="Times New Roman" w:hAnsi="Arial" w:cs="Arial"/>
          <w:bCs/>
          <w:lang w:eastAsia="fr-FR"/>
        </w:rPr>
        <w:t>intitulé « </w:t>
      </w:r>
      <w:r w:rsidRPr="00915F4C">
        <w:rPr>
          <w:rFonts w:ascii="Arial" w:eastAsia="Times New Roman" w:hAnsi="Arial" w:cs="Arial"/>
          <w:b/>
          <w:bCs/>
          <w:lang w:eastAsia="fr-FR"/>
        </w:rPr>
        <w:t>Egalité salariale entre les hommes et les femmes</w:t>
      </w:r>
      <w:r>
        <w:rPr>
          <w:rFonts w:ascii="Arial" w:eastAsia="Times New Roman" w:hAnsi="Arial" w:cs="Arial"/>
          <w:bCs/>
          <w:lang w:eastAsia="fr-FR"/>
        </w:rPr>
        <w:t xml:space="preserve"> », </w:t>
      </w:r>
      <w:r w:rsidRPr="00F67F3C">
        <w:rPr>
          <w:rFonts w:ascii="Arial" w:eastAsia="Times New Roman" w:hAnsi="Arial" w:cs="Arial"/>
          <w:bCs/>
          <w:lang w:eastAsia="fr-FR"/>
        </w:rPr>
        <w:t>tout employeur doit assurer l’égalité de salaire entre les hommes et les femmes pour un même travail ou pour un travail de valeur égale.</w:t>
      </w:r>
    </w:p>
    <w:p w:rsidR="00C80BD6" w:rsidRDefault="00C80BD6" w:rsidP="00C80BD6">
      <w:pPr>
        <w:spacing w:after="200" w:line="276" w:lineRule="auto"/>
        <w:jc w:val="both"/>
        <w:rPr>
          <w:rFonts w:ascii="Arial" w:eastAsia="Times New Roman" w:hAnsi="Arial" w:cs="Arial"/>
          <w:bCs/>
          <w:lang w:eastAsia="fr-FR"/>
        </w:rPr>
      </w:pPr>
      <w:r>
        <w:rPr>
          <w:rFonts w:ascii="Arial" w:eastAsia="Times New Roman" w:hAnsi="Arial" w:cs="Arial"/>
          <w:bCs/>
          <w:lang w:eastAsia="fr-FR"/>
        </w:rPr>
        <w:t>L’</w:t>
      </w:r>
      <w:r w:rsidR="00915F4C">
        <w:rPr>
          <w:rFonts w:ascii="Arial" w:eastAsia="Times New Roman" w:hAnsi="Arial" w:cs="Arial"/>
          <w:bCs/>
          <w:lang w:eastAsia="fr-FR"/>
        </w:rPr>
        <w:t xml:space="preserve">employeur qui, à l’avenir, ne respectera pas cette </w:t>
      </w:r>
      <w:r w:rsidRPr="00F67F3C">
        <w:rPr>
          <w:rFonts w:ascii="Arial" w:eastAsia="Times New Roman" w:hAnsi="Arial" w:cs="Arial"/>
          <w:bCs/>
          <w:lang w:eastAsia="fr-FR"/>
        </w:rPr>
        <w:t>obligation inscrite au nouvel l’article L. 225-1 du Code du Travail sera puni d’</w:t>
      </w:r>
      <w:r>
        <w:rPr>
          <w:rFonts w:ascii="Arial" w:eastAsia="Times New Roman" w:hAnsi="Arial" w:cs="Arial"/>
          <w:bCs/>
          <w:lang w:eastAsia="fr-FR"/>
        </w:rPr>
        <w:t>une amende de 251 à 25.000 euros</w:t>
      </w:r>
      <w:r w:rsidRPr="00F67F3C">
        <w:rPr>
          <w:rFonts w:ascii="Arial" w:eastAsia="Times New Roman" w:hAnsi="Arial" w:cs="Arial"/>
          <w:bCs/>
          <w:lang w:eastAsia="fr-FR"/>
        </w:rPr>
        <w:t>, et au double de l’amende en cas de récidive.</w:t>
      </w:r>
    </w:p>
    <w:p w:rsidR="00915F4C" w:rsidRPr="00915F4C" w:rsidRDefault="00915F4C" w:rsidP="00915F4C">
      <w:pPr>
        <w:pStyle w:val="Paragraphedeliste"/>
        <w:ind w:left="0"/>
        <w:jc w:val="both"/>
        <w:rPr>
          <w:rFonts w:ascii="Arial" w:eastAsia="Times New Roman" w:hAnsi="Arial" w:cs="Arial"/>
          <w:bCs/>
          <w:lang w:eastAsia="fr-FR"/>
        </w:rPr>
      </w:pPr>
      <w:r w:rsidRPr="00915F4C">
        <w:rPr>
          <w:rFonts w:ascii="Arial" w:hAnsi="Arial" w:cs="Arial"/>
        </w:rPr>
        <w:t>Toutefois, le PL 6892 n’a pas comme unique vocation d’</w:t>
      </w:r>
      <w:r w:rsidRPr="00915F4C">
        <w:rPr>
          <w:rFonts w:ascii="Arial" w:eastAsia="Times New Roman" w:hAnsi="Arial" w:cs="Arial"/>
          <w:bCs/>
          <w:lang w:eastAsia="fr-FR"/>
        </w:rPr>
        <w:t>inscrire l’égalité salariale entre les hommes et les femmes dans la loi. Il a aussi comme objectif</w:t>
      </w:r>
      <w:r>
        <w:rPr>
          <w:rFonts w:ascii="Arial" w:eastAsia="Times New Roman" w:hAnsi="Arial" w:cs="Arial"/>
          <w:bCs/>
          <w:lang w:eastAsia="fr-FR"/>
        </w:rPr>
        <w:t>s</w:t>
      </w:r>
      <w:r w:rsidRPr="00915F4C">
        <w:rPr>
          <w:rFonts w:ascii="Arial" w:eastAsia="Times New Roman" w:hAnsi="Arial" w:cs="Arial"/>
          <w:bCs/>
          <w:lang w:eastAsia="fr-FR"/>
        </w:rPr>
        <w:t xml:space="preserve"> de :</w:t>
      </w:r>
    </w:p>
    <w:p w:rsidR="00915F4C" w:rsidRPr="00915F4C" w:rsidRDefault="00915F4C" w:rsidP="00915F4C">
      <w:pPr>
        <w:pStyle w:val="Paragraphedeliste"/>
        <w:ind w:left="0"/>
        <w:jc w:val="both"/>
        <w:rPr>
          <w:rFonts w:ascii="Arial" w:eastAsia="Times New Roman" w:hAnsi="Arial" w:cs="Arial"/>
          <w:bCs/>
          <w:sz w:val="16"/>
          <w:szCs w:val="16"/>
          <w:lang w:eastAsia="fr-FR"/>
        </w:rPr>
      </w:pPr>
    </w:p>
    <w:p w:rsidR="00915F4C" w:rsidRPr="00915F4C" w:rsidRDefault="00915F4C" w:rsidP="00915F4C">
      <w:pPr>
        <w:pStyle w:val="Paragraphedeliste"/>
        <w:ind w:left="0"/>
        <w:jc w:val="both"/>
        <w:rPr>
          <w:rFonts w:ascii="Arial" w:hAnsi="Arial" w:cs="Arial"/>
          <w:bCs/>
        </w:rPr>
      </w:pPr>
      <w:r w:rsidRPr="00915F4C">
        <w:rPr>
          <w:rFonts w:ascii="Arial" w:hAnsi="Arial" w:cs="Arial"/>
        </w:rPr>
        <w:t xml:space="preserve">- </w:t>
      </w:r>
      <w:r w:rsidRPr="00915F4C">
        <w:rPr>
          <w:rFonts w:ascii="Arial" w:hAnsi="Arial" w:cs="Arial"/>
          <w:bCs/>
        </w:rPr>
        <w:t xml:space="preserve">simplifier les procédures administratives du </w:t>
      </w:r>
      <w:r w:rsidRPr="00915F4C">
        <w:rPr>
          <w:rFonts w:ascii="Arial" w:hAnsi="Arial" w:cs="Arial"/>
          <w:b/>
          <w:bCs/>
        </w:rPr>
        <w:t>Plan d’action pour l’égalité des femmes et des hommes</w:t>
      </w:r>
      <w:r w:rsidRPr="00915F4C">
        <w:rPr>
          <w:rFonts w:ascii="Arial" w:hAnsi="Arial" w:cs="Arial"/>
          <w:bCs/>
        </w:rPr>
        <w:t xml:space="preserve"> et du </w:t>
      </w:r>
      <w:r w:rsidRPr="00915F4C">
        <w:rPr>
          <w:rFonts w:ascii="Arial" w:hAnsi="Arial" w:cs="Arial"/>
          <w:b/>
          <w:bCs/>
        </w:rPr>
        <w:t>Programme des Actions positives</w:t>
      </w:r>
      <w:r w:rsidRPr="00915F4C">
        <w:rPr>
          <w:rFonts w:ascii="Arial" w:hAnsi="Arial" w:cs="Arial"/>
          <w:bCs/>
        </w:rPr>
        <w:t>, ainsi que de</w:t>
      </w:r>
    </w:p>
    <w:p w:rsidR="00915F4C" w:rsidRPr="00915F4C" w:rsidRDefault="00915F4C" w:rsidP="00915F4C">
      <w:pPr>
        <w:pStyle w:val="Default"/>
        <w:jc w:val="both"/>
        <w:rPr>
          <w:rFonts w:ascii="Arial" w:eastAsia="Times New Roman" w:hAnsi="Arial" w:cs="Arial"/>
          <w:color w:val="auto"/>
          <w:sz w:val="22"/>
          <w:szCs w:val="22"/>
        </w:rPr>
      </w:pPr>
      <w:r w:rsidRPr="00915F4C">
        <w:rPr>
          <w:rFonts w:ascii="Arial" w:hAnsi="Arial" w:cs="Arial"/>
          <w:bCs/>
          <w:color w:val="auto"/>
        </w:rPr>
        <w:t xml:space="preserve">- </w:t>
      </w:r>
      <w:r w:rsidRPr="00915F4C">
        <w:rPr>
          <w:rFonts w:ascii="Arial" w:eastAsia="Times New Roman" w:hAnsi="Arial" w:cs="Arial"/>
          <w:color w:val="auto"/>
          <w:sz w:val="22"/>
          <w:szCs w:val="22"/>
        </w:rPr>
        <w:t xml:space="preserve">tendre vers la </w:t>
      </w:r>
      <w:r w:rsidRPr="00915F4C">
        <w:rPr>
          <w:rFonts w:ascii="Arial" w:eastAsia="Times New Roman" w:hAnsi="Arial" w:cs="Arial"/>
          <w:b/>
          <w:color w:val="auto"/>
          <w:sz w:val="22"/>
          <w:szCs w:val="22"/>
        </w:rPr>
        <w:t>parité en politique par le biais de quotas</w:t>
      </w:r>
      <w:r>
        <w:rPr>
          <w:rFonts w:ascii="Arial" w:eastAsia="Times New Roman" w:hAnsi="Arial" w:cs="Arial"/>
          <w:color w:val="auto"/>
          <w:sz w:val="22"/>
          <w:szCs w:val="22"/>
        </w:rPr>
        <w:t>.</w:t>
      </w:r>
    </w:p>
    <w:p w:rsidR="00915F4C" w:rsidRDefault="00915F4C" w:rsidP="00915F4C">
      <w:pPr>
        <w:pStyle w:val="Default"/>
        <w:jc w:val="both"/>
        <w:rPr>
          <w:rFonts w:ascii="Arial" w:hAnsi="Arial" w:cs="Arial"/>
          <w:bCs/>
          <w:color w:val="auto"/>
          <w:sz w:val="22"/>
          <w:szCs w:val="22"/>
        </w:rPr>
      </w:pPr>
    </w:p>
    <w:p w:rsidR="00915F4C" w:rsidRPr="00B81F7B" w:rsidRDefault="00915F4C" w:rsidP="00915F4C">
      <w:pPr>
        <w:pStyle w:val="Default"/>
        <w:jc w:val="both"/>
        <w:rPr>
          <w:rFonts w:eastAsia="Times New Roman"/>
          <w:sz w:val="22"/>
          <w:szCs w:val="22"/>
        </w:rPr>
      </w:pPr>
      <w:r w:rsidRPr="00B81F7B">
        <w:rPr>
          <w:rFonts w:eastAsia="Times New Roman"/>
          <w:sz w:val="22"/>
          <w:szCs w:val="22"/>
        </w:rPr>
        <w:t>Les demandes pour une majoration de certaines aides à l’embauche de personnes appartenant au sexe sous-représenté ne seront plus soumises pour avis au STATEC, mais seront directement adressées au Ministère du Travail, de l’Emploi et de l’Economie sociale et solidaire, ceci pour accélérer et simplifier la procédure administrative.</w:t>
      </w:r>
    </w:p>
    <w:p w:rsidR="00915F4C" w:rsidRPr="00B81F7B" w:rsidRDefault="00915F4C" w:rsidP="00915F4C">
      <w:pPr>
        <w:pStyle w:val="Default"/>
        <w:jc w:val="both"/>
        <w:rPr>
          <w:rFonts w:eastAsia="Times New Roman"/>
          <w:sz w:val="22"/>
          <w:szCs w:val="22"/>
        </w:rPr>
      </w:pPr>
      <w:r w:rsidRPr="00B81F7B">
        <w:rPr>
          <w:rFonts w:eastAsia="Times New Roman"/>
          <w:sz w:val="22"/>
          <w:szCs w:val="22"/>
        </w:rPr>
        <w:t>Dans le cadre du programme des actions positives, auquel peuvent participer les entreprises à titre volontaire, la fixation d’objectifs concrets en matière d’égalité entre hommes et femmes dans la prise de décision sera dorénavant un critère d’éligibilité pour l’obtention de l’agrément ministériel.</w:t>
      </w:r>
    </w:p>
    <w:p w:rsidR="00915F4C" w:rsidRPr="00B81F7B" w:rsidRDefault="00915F4C" w:rsidP="00915F4C">
      <w:pPr>
        <w:pStyle w:val="Default"/>
        <w:jc w:val="both"/>
        <w:rPr>
          <w:rFonts w:ascii="Arial" w:eastAsia="Times New Roman" w:hAnsi="Arial" w:cs="Arial"/>
          <w:sz w:val="22"/>
          <w:szCs w:val="22"/>
        </w:rPr>
      </w:pPr>
      <w:r w:rsidRPr="00B81F7B">
        <w:rPr>
          <w:rFonts w:ascii="Arial" w:eastAsia="Times New Roman" w:hAnsi="Arial" w:cs="Arial"/>
          <w:sz w:val="22"/>
          <w:szCs w:val="22"/>
        </w:rPr>
        <w:t>Dans le même cadre, la preuve d’un contrôle de l’égalité des salaires dans les entreprises sera dorénavant également un tel critère.</w:t>
      </w:r>
    </w:p>
    <w:p w:rsidR="00E5005D" w:rsidRPr="00E5005D" w:rsidRDefault="00E5005D" w:rsidP="00C625A8">
      <w:pPr>
        <w:rPr>
          <w:rFonts w:ascii="Arial" w:hAnsi="Arial" w:cs="Arial"/>
        </w:rPr>
      </w:pPr>
    </w:p>
    <w:p w:rsidR="00915F4C" w:rsidRPr="00B81F7B" w:rsidRDefault="00915F4C" w:rsidP="00915F4C">
      <w:pPr>
        <w:jc w:val="both"/>
        <w:rPr>
          <w:rFonts w:ascii="Arial" w:hAnsi="Arial" w:cs="Arial"/>
          <w:bCs/>
          <w:i/>
        </w:rPr>
      </w:pPr>
      <w:r>
        <w:rPr>
          <w:rFonts w:ascii="Arial" w:hAnsi="Arial" w:cs="Arial"/>
          <w:bCs/>
        </w:rPr>
        <w:t>Dans son programme de 2013, le Gouvernement s’était</w:t>
      </w:r>
      <w:r w:rsidRPr="00B81F7B">
        <w:rPr>
          <w:rFonts w:ascii="Arial" w:hAnsi="Arial" w:cs="Arial"/>
          <w:bCs/>
        </w:rPr>
        <w:t xml:space="preserve"> engagé à modifier « </w:t>
      </w:r>
      <w:r w:rsidRPr="00B81F7B">
        <w:rPr>
          <w:rFonts w:ascii="Arial" w:hAnsi="Arial" w:cs="Arial"/>
          <w:bCs/>
          <w:i/>
        </w:rPr>
        <w:t>la loi sur le financement des partis politiques en introduisant l’obligation pour les partis politi</w:t>
      </w:r>
      <w:r>
        <w:rPr>
          <w:rFonts w:ascii="Arial" w:hAnsi="Arial" w:cs="Arial"/>
          <w:bCs/>
          <w:i/>
        </w:rPr>
        <w:t>ques de garantir un quota de 40 %</w:t>
      </w:r>
      <w:r w:rsidRPr="00B81F7B">
        <w:rPr>
          <w:rFonts w:ascii="Arial" w:hAnsi="Arial" w:cs="Arial"/>
          <w:bCs/>
          <w:i/>
        </w:rPr>
        <w:t xml:space="preserve"> du sexe sous-représenté sur les listes de candidatures sujettes au </w:t>
      </w:r>
      <w:r w:rsidRPr="00B81F7B">
        <w:rPr>
          <w:rFonts w:ascii="Arial" w:hAnsi="Arial" w:cs="Arial"/>
          <w:bCs/>
          <w:i/>
        </w:rPr>
        <w:lastRenderedPageBreak/>
        <w:t>financement des partis. Des sanctions financières seront prévues en cas de non-respect des minima imposés. La loi entrera en vigueur pour les pr</w:t>
      </w:r>
      <w:r>
        <w:rPr>
          <w:rFonts w:ascii="Arial" w:hAnsi="Arial" w:cs="Arial"/>
          <w:bCs/>
          <w:i/>
        </w:rPr>
        <w:t>ochaines élections législatives</w:t>
      </w:r>
      <w:r w:rsidRPr="00B81F7B">
        <w:rPr>
          <w:rFonts w:ascii="Arial" w:hAnsi="Arial" w:cs="Arial"/>
          <w:bCs/>
          <w:i/>
        </w:rPr>
        <w:t> »</w:t>
      </w:r>
      <w:r>
        <w:rPr>
          <w:rFonts w:ascii="Arial" w:hAnsi="Arial" w:cs="Arial"/>
          <w:bCs/>
          <w:i/>
        </w:rPr>
        <w:t>.</w:t>
      </w:r>
    </w:p>
    <w:p w:rsidR="00915F4C" w:rsidRPr="00B81F7B" w:rsidRDefault="00915F4C" w:rsidP="00915F4C">
      <w:pPr>
        <w:pStyle w:val="Default"/>
        <w:jc w:val="both"/>
        <w:rPr>
          <w:rFonts w:ascii="Arial" w:eastAsia="Times New Roman" w:hAnsi="Arial" w:cs="Arial"/>
          <w:sz w:val="22"/>
          <w:szCs w:val="22"/>
        </w:rPr>
      </w:pPr>
      <w:r>
        <w:rPr>
          <w:rFonts w:ascii="Arial" w:eastAsia="Times New Roman" w:hAnsi="Arial" w:cs="Arial"/>
          <w:sz w:val="22"/>
          <w:szCs w:val="22"/>
        </w:rPr>
        <w:t>L’article 2 du PL 6892</w:t>
      </w:r>
      <w:r w:rsidRPr="00B81F7B">
        <w:rPr>
          <w:rFonts w:ascii="Arial" w:eastAsia="Times New Roman" w:hAnsi="Arial" w:cs="Arial"/>
          <w:sz w:val="22"/>
          <w:szCs w:val="22"/>
        </w:rPr>
        <w:t xml:space="preserve"> a</w:t>
      </w:r>
      <w:r w:rsidR="00FB38B3">
        <w:rPr>
          <w:rFonts w:ascii="Arial" w:eastAsia="Times New Roman" w:hAnsi="Arial" w:cs="Arial"/>
          <w:sz w:val="22"/>
          <w:szCs w:val="22"/>
        </w:rPr>
        <w:t>ura désormais</w:t>
      </w:r>
      <w:r w:rsidRPr="00B81F7B">
        <w:rPr>
          <w:rFonts w:ascii="Arial" w:eastAsia="Times New Roman" w:hAnsi="Arial" w:cs="Arial"/>
          <w:sz w:val="22"/>
          <w:szCs w:val="22"/>
        </w:rPr>
        <w:t xml:space="preserve"> pour obj</w:t>
      </w:r>
      <w:r>
        <w:rPr>
          <w:rFonts w:ascii="Arial" w:eastAsia="Times New Roman" w:hAnsi="Arial" w:cs="Arial"/>
          <w:sz w:val="22"/>
          <w:szCs w:val="22"/>
        </w:rPr>
        <w:t>et de transposer la volonté du G</w:t>
      </w:r>
      <w:r w:rsidRPr="00B81F7B">
        <w:rPr>
          <w:rFonts w:ascii="Arial" w:eastAsia="Times New Roman" w:hAnsi="Arial" w:cs="Arial"/>
          <w:sz w:val="22"/>
          <w:szCs w:val="22"/>
        </w:rPr>
        <w:t xml:space="preserve">ouvernement </w:t>
      </w:r>
      <w:r w:rsidR="00FB38B3">
        <w:rPr>
          <w:rFonts w:ascii="Arial" w:eastAsia="Times New Roman" w:hAnsi="Arial" w:cs="Arial"/>
          <w:sz w:val="22"/>
          <w:szCs w:val="22"/>
        </w:rPr>
        <w:t>d’améliorer la parité politique, étant donné que même s</w:t>
      </w:r>
      <w:r w:rsidRPr="00B81F7B">
        <w:rPr>
          <w:rFonts w:ascii="Arial" w:eastAsia="Times New Roman" w:hAnsi="Arial" w:cs="Arial"/>
          <w:sz w:val="22"/>
          <w:szCs w:val="22"/>
        </w:rPr>
        <w:t>i les femmes parti</w:t>
      </w:r>
      <w:r w:rsidR="00FB38B3">
        <w:rPr>
          <w:rFonts w:ascii="Arial" w:eastAsia="Times New Roman" w:hAnsi="Arial" w:cs="Arial"/>
          <w:sz w:val="22"/>
          <w:szCs w:val="22"/>
        </w:rPr>
        <w:t xml:space="preserve">cipent aux élections (communales, législatives, européennes) </w:t>
      </w:r>
      <w:r w:rsidRPr="00B81F7B">
        <w:rPr>
          <w:rFonts w:ascii="Arial" w:eastAsia="Times New Roman" w:hAnsi="Arial" w:cs="Arial"/>
          <w:sz w:val="22"/>
          <w:szCs w:val="22"/>
        </w:rPr>
        <w:t>au</w:t>
      </w:r>
      <w:r w:rsidR="00FB38B3">
        <w:rPr>
          <w:rFonts w:ascii="Arial" w:eastAsia="Times New Roman" w:hAnsi="Arial" w:cs="Arial"/>
          <w:sz w:val="22"/>
          <w:szCs w:val="22"/>
        </w:rPr>
        <w:t xml:space="preserve">tant que les hommes, elles restent </w:t>
      </w:r>
      <w:r w:rsidRPr="00B81F7B">
        <w:rPr>
          <w:rFonts w:ascii="Arial" w:eastAsia="Times New Roman" w:hAnsi="Arial" w:cs="Arial"/>
          <w:sz w:val="22"/>
          <w:szCs w:val="22"/>
        </w:rPr>
        <w:t>très minoritaires parmi les élus.</w:t>
      </w:r>
    </w:p>
    <w:p w:rsidR="00FB38B3" w:rsidRPr="00B81F7B" w:rsidRDefault="00FB38B3" w:rsidP="00FB38B3">
      <w:pPr>
        <w:pStyle w:val="Default"/>
        <w:jc w:val="both"/>
        <w:rPr>
          <w:rFonts w:ascii="Arial" w:eastAsia="Times New Roman" w:hAnsi="Arial" w:cs="Arial"/>
          <w:sz w:val="22"/>
          <w:szCs w:val="22"/>
        </w:rPr>
      </w:pPr>
      <w:r w:rsidRPr="00B81F7B">
        <w:rPr>
          <w:rFonts w:ascii="Arial" w:eastAsia="Times New Roman" w:hAnsi="Arial" w:cs="Arial"/>
          <w:sz w:val="22"/>
          <w:szCs w:val="22"/>
        </w:rPr>
        <w:t>La sanction financière prévue au présent proje</w:t>
      </w:r>
      <w:r>
        <w:rPr>
          <w:rFonts w:ascii="Arial" w:eastAsia="Times New Roman" w:hAnsi="Arial" w:cs="Arial"/>
          <w:sz w:val="22"/>
          <w:szCs w:val="22"/>
        </w:rPr>
        <w:t xml:space="preserve">t de loi pour non-respect du </w:t>
      </w:r>
      <w:r w:rsidRPr="00B81F7B">
        <w:rPr>
          <w:rFonts w:ascii="Arial" w:eastAsia="Times New Roman" w:hAnsi="Arial" w:cs="Arial"/>
          <w:sz w:val="22"/>
          <w:szCs w:val="22"/>
        </w:rPr>
        <w:t>quota</w:t>
      </w:r>
      <w:r>
        <w:rPr>
          <w:rFonts w:ascii="Arial" w:eastAsia="Times New Roman" w:hAnsi="Arial" w:cs="Arial"/>
          <w:sz w:val="22"/>
          <w:szCs w:val="22"/>
        </w:rPr>
        <w:t xml:space="preserve"> évoqué ci-haut</w:t>
      </w:r>
      <w:r w:rsidRPr="00B81F7B">
        <w:rPr>
          <w:rFonts w:ascii="Arial" w:eastAsia="Times New Roman" w:hAnsi="Arial" w:cs="Arial"/>
          <w:sz w:val="22"/>
          <w:szCs w:val="22"/>
        </w:rPr>
        <w:t xml:space="preserve"> est prévue de manière progressive, proportionnellement au nombre de can</w:t>
      </w:r>
      <w:r>
        <w:rPr>
          <w:rFonts w:ascii="Arial" w:eastAsia="Times New Roman" w:hAnsi="Arial" w:cs="Arial"/>
          <w:sz w:val="22"/>
          <w:szCs w:val="22"/>
        </w:rPr>
        <w:t>didats du sexe sous-représenté.</w:t>
      </w:r>
    </w:p>
    <w:p w:rsidR="00FB38B3" w:rsidRPr="00B81F7B" w:rsidRDefault="00FB38B3" w:rsidP="00FB38B3">
      <w:pPr>
        <w:pStyle w:val="Default"/>
        <w:jc w:val="both"/>
        <w:rPr>
          <w:rFonts w:ascii="Arial" w:eastAsia="Times New Roman" w:hAnsi="Arial" w:cs="Arial"/>
          <w:sz w:val="22"/>
          <w:szCs w:val="22"/>
        </w:rPr>
      </w:pPr>
      <w:r w:rsidRPr="00B81F7B">
        <w:rPr>
          <w:rFonts w:ascii="Arial" w:eastAsia="Times New Roman" w:hAnsi="Arial" w:cs="Arial"/>
          <w:sz w:val="22"/>
          <w:szCs w:val="22"/>
        </w:rPr>
        <w:t xml:space="preserve">Plus un parti </w:t>
      </w:r>
      <w:r>
        <w:rPr>
          <w:rFonts w:ascii="Arial" w:eastAsia="Times New Roman" w:hAnsi="Arial" w:cs="Arial"/>
          <w:sz w:val="22"/>
          <w:szCs w:val="22"/>
        </w:rPr>
        <w:t>s’écarte du seuil minimal de 40 %</w:t>
      </w:r>
      <w:r w:rsidRPr="00B81F7B">
        <w:rPr>
          <w:rFonts w:ascii="Arial" w:eastAsia="Times New Roman" w:hAnsi="Arial" w:cs="Arial"/>
          <w:sz w:val="22"/>
          <w:szCs w:val="22"/>
        </w:rPr>
        <w:t xml:space="preserve"> plus grande sera la sanction financière à supporter.</w:t>
      </w:r>
    </w:p>
    <w:p w:rsidR="00FB38B3" w:rsidRPr="00B81F7B" w:rsidRDefault="00FB38B3" w:rsidP="00FB38B3">
      <w:pPr>
        <w:pStyle w:val="Default"/>
        <w:jc w:val="both"/>
        <w:rPr>
          <w:rFonts w:ascii="Arial" w:eastAsia="Times New Roman" w:hAnsi="Arial" w:cs="Arial"/>
          <w:sz w:val="22"/>
          <w:szCs w:val="22"/>
        </w:rPr>
      </w:pPr>
      <w:r>
        <w:rPr>
          <w:rFonts w:ascii="Arial" w:eastAsia="Times New Roman" w:hAnsi="Arial" w:cs="Arial"/>
          <w:sz w:val="22"/>
          <w:szCs w:val="22"/>
        </w:rPr>
        <w:t xml:space="preserve">Pour ce qui est des élections législatives nationales et européennes à venir, le </w:t>
      </w:r>
      <w:r w:rsidRPr="00B81F7B">
        <w:rPr>
          <w:rFonts w:ascii="Arial" w:eastAsia="Times New Roman" w:hAnsi="Arial" w:cs="Arial"/>
          <w:sz w:val="22"/>
          <w:szCs w:val="22"/>
        </w:rPr>
        <w:t>financement sera ainsi adapté proportionnellement au nombre de candidats du sexe sous-représenté.</w:t>
      </w:r>
    </w:p>
    <w:p w:rsidR="00E5005D" w:rsidRPr="00E5005D" w:rsidRDefault="00E5005D" w:rsidP="00C625A8">
      <w:pPr>
        <w:rPr>
          <w:rFonts w:ascii="Arial" w:hAnsi="Arial" w:cs="Arial"/>
        </w:rPr>
      </w:pPr>
    </w:p>
    <w:sectPr w:rsidR="00E5005D" w:rsidRPr="00E500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07" w:rsidRDefault="003C0E07" w:rsidP="00844212">
      <w:pPr>
        <w:spacing w:after="0" w:line="240" w:lineRule="auto"/>
      </w:pPr>
      <w:r>
        <w:separator/>
      </w:r>
    </w:p>
  </w:endnote>
  <w:endnote w:type="continuationSeparator" w:id="0">
    <w:p w:rsidR="003C0E07" w:rsidRDefault="003C0E07" w:rsidP="0084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12" w:rsidRDefault="00844212">
    <w:pPr>
      <w:pStyle w:val="Pieddepage"/>
      <w:jc w:val="center"/>
    </w:pPr>
    <w:r>
      <w:fldChar w:fldCharType="begin"/>
    </w:r>
    <w:r>
      <w:instrText>PAGE   \* MERGEFORMAT</w:instrText>
    </w:r>
    <w:r>
      <w:fldChar w:fldCharType="separate"/>
    </w:r>
    <w:r w:rsidR="00644184" w:rsidRPr="00644184">
      <w:rPr>
        <w:noProof/>
        <w:lang w:val="fr-FR"/>
      </w:rPr>
      <w:t>1</w:t>
    </w:r>
    <w:r>
      <w:fldChar w:fldCharType="end"/>
    </w:r>
  </w:p>
  <w:p w:rsidR="00844212" w:rsidRDefault="008442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07" w:rsidRDefault="003C0E07" w:rsidP="00844212">
      <w:pPr>
        <w:spacing w:after="0" w:line="240" w:lineRule="auto"/>
      </w:pPr>
      <w:r>
        <w:separator/>
      </w:r>
    </w:p>
  </w:footnote>
  <w:footnote w:type="continuationSeparator" w:id="0">
    <w:p w:rsidR="003C0E07" w:rsidRDefault="003C0E07" w:rsidP="00844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836"/>
    <w:multiLevelType w:val="hybridMultilevel"/>
    <w:tmpl w:val="6592E99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8190C75"/>
    <w:multiLevelType w:val="hybridMultilevel"/>
    <w:tmpl w:val="9F9A78F2"/>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5A8"/>
    <w:rsid w:val="001768F3"/>
    <w:rsid w:val="00360E7C"/>
    <w:rsid w:val="003C0E07"/>
    <w:rsid w:val="00644184"/>
    <w:rsid w:val="006D23FA"/>
    <w:rsid w:val="006E5E8A"/>
    <w:rsid w:val="0071058F"/>
    <w:rsid w:val="00844212"/>
    <w:rsid w:val="008D694E"/>
    <w:rsid w:val="00915F4C"/>
    <w:rsid w:val="00925CC1"/>
    <w:rsid w:val="00933281"/>
    <w:rsid w:val="009553F6"/>
    <w:rsid w:val="00A3061E"/>
    <w:rsid w:val="00B10322"/>
    <w:rsid w:val="00BE5FBD"/>
    <w:rsid w:val="00C625A8"/>
    <w:rsid w:val="00C80BD6"/>
    <w:rsid w:val="00CC7C8E"/>
    <w:rsid w:val="00D76A6B"/>
    <w:rsid w:val="00E5005D"/>
    <w:rsid w:val="00EE1F0B"/>
    <w:rsid w:val="00EE4E07"/>
    <w:rsid w:val="00FB38B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411B0D-5C32-47EA-B779-47F2024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4212"/>
    <w:pPr>
      <w:tabs>
        <w:tab w:val="center" w:pos="4536"/>
        <w:tab w:val="right" w:pos="9072"/>
      </w:tabs>
    </w:pPr>
  </w:style>
  <w:style w:type="character" w:customStyle="1" w:styleId="En-tteCar">
    <w:name w:val="En-tête Car"/>
    <w:link w:val="En-tte"/>
    <w:uiPriority w:val="99"/>
    <w:rsid w:val="00844212"/>
    <w:rPr>
      <w:sz w:val="22"/>
      <w:szCs w:val="22"/>
      <w:lang w:eastAsia="en-US"/>
    </w:rPr>
  </w:style>
  <w:style w:type="paragraph" w:styleId="Pieddepage">
    <w:name w:val="footer"/>
    <w:basedOn w:val="Normal"/>
    <w:link w:val="PieddepageCar"/>
    <w:uiPriority w:val="99"/>
    <w:unhideWhenUsed/>
    <w:rsid w:val="00844212"/>
    <w:pPr>
      <w:tabs>
        <w:tab w:val="center" w:pos="4536"/>
        <w:tab w:val="right" w:pos="9072"/>
      </w:tabs>
    </w:pPr>
  </w:style>
  <w:style w:type="character" w:customStyle="1" w:styleId="PieddepageCar">
    <w:name w:val="Pied de page Car"/>
    <w:link w:val="Pieddepage"/>
    <w:uiPriority w:val="99"/>
    <w:rsid w:val="00844212"/>
    <w:rPr>
      <w:sz w:val="22"/>
      <w:szCs w:val="22"/>
      <w:lang w:eastAsia="en-US"/>
    </w:rPr>
  </w:style>
  <w:style w:type="paragraph" w:styleId="NormalWeb">
    <w:name w:val="Normal (Web)"/>
    <w:basedOn w:val="Normal"/>
    <w:uiPriority w:val="99"/>
    <w:unhideWhenUsed/>
    <w:rsid w:val="008D694E"/>
    <w:pPr>
      <w:spacing w:before="100" w:beforeAutospacing="1" w:after="100" w:afterAutospacing="1" w:line="240" w:lineRule="auto"/>
    </w:pPr>
    <w:rPr>
      <w:rFonts w:ascii="Times" w:eastAsia="MS Mincho" w:hAnsi="Times"/>
      <w:sz w:val="20"/>
      <w:szCs w:val="20"/>
      <w:lang w:eastAsia="fr-FR"/>
    </w:rPr>
  </w:style>
  <w:style w:type="paragraph" w:styleId="Notedebasdepage">
    <w:name w:val="footnote text"/>
    <w:basedOn w:val="Normal"/>
    <w:link w:val="NotedebasdepageCar"/>
    <w:uiPriority w:val="99"/>
    <w:semiHidden/>
    <w:unhideWhenUsed/>
    <w:rsid w:val="008D694E"/>
    <w:pPr>
      <w:spacing w:after="0" w:line="240" w:lineRule="auto"/>
    </w:pPr>
    <w:rPr>
      <w:rFonts w:ascii="Cambria" w:eastAsia="MS Mincho" w:hAnsi="Cambria"/>
      <w:sz w:val="20"/>
      <w:szCs w:val="20"/>
      <w:lang w:val="fr-FR" w:eastAsia="fr-FR"/>
    </w:rPr>
  </w:style>
  <w:style w:type="character" w:customStyle="1" w:styleId="NotedebasdepageCar">
    <w:name w:val="Note de bas de page Car"/>
    <w:link w:val="Notedebasdepage"/>
    <w:uiPriority w:val="99"/>
    <w:semiHidden/>
    <w:rsid w:val="008D694E"/>
    <w:rPr>
      <w:rFonts w:ascii="Cambria" w:eastAsia="MS Mincho" w:hAnsi="Cambria"/>
      <w:lang w:val="fr-FR" w:eastAsia="fr-FR"/>
    </w:rPr>
  </w:style>
  <w:style w:type="character" w:styleId="Appelnotedebasdep">
    <w:name w:val="footnote reference"/>
    <w:uiPriority w:val="99"/>
    <w:semiHidden/>
    <w:unhideWhenUsed/>
    <w:rsid w:val="008D694E"/>
    <w:rPr>
      <w:vertAlign w:val="superscript"/>
    </w:rPr>
  </w:style>
  <w:style w:type="paragraph" w:styleId="Paragraphedeliste">
    <w:name w:val="List Paragraph"/>
    <w:basedOn w:val="Normal"/>
    <w:uiPriority w:val="34"/>
    <w:qFormat/>
    <w:rsid w:val="00915F4C"/>
    <w:pPr>
      <w:ind w:left="720"/>
      <w:contextualSpacing/>
    </w:pPr>
  </w:style>
  <w:style w:type="paragraph" w:customStyle="1" w:styleId="Default">
    <w:name w:val="Default"/>
    <w:rsid w:val="00915F4C"/>
    <w:pPr>
      <w:autoSpaceDE w:val="0"/>
      <w:autoSpaceDN w:val="0"/>
      <w:adjustRightInd w:val="0"/>
    </w:pPr>
    <w:rPr>
      <w:rFonts w:ascii="Swis721 BT"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34F910A-A08D-479F-AFA5-69E0A7C50DB4}"/>
</file>

<file path=customXml/itemProps2.xml><?xml version="1.0" encoding="utf-8"?>
<ds:datastoreItem xmlns:ds="http://schemas.openxmlformats.org/officeDocument/2006/customXml" ds:itemID="{5FAFA26D-5AFA-4782-B3B0-218AB3431268}"/>
</file>

<file path=customXml/itemProps3.xml><?xml version="1.0" encoding="utf-8"?>
<ds:datastoreItem xmlns:ds="http://schemas.openxmlformats.org/officeDocument/2006/customXml" ds:itemID="{362154F8-C377-46F4-AFDA-B8765037FB4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3062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