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06" w:rsidRPr="00555E17" w:rsidRDefault="00455006" w:rsidP="00B775CB">
      <w:pPr>
        <w:jc w:val="center"/>
        <w:rPr>
          <w:rFonts w:ascii="Arial" w:hAnsi="Arial" w:cs="Arial"/>
          <w:noProof/>
          <w:sz w:val="22"/>
          <w:szCs w:val="22"/>
          <w:lang w:val="fr-FR"/>
        </w:rPr>
      </w:pPr>
      <w:bookmarkStart w:id="0" w:name="_GoBack"/>
      <w:bookmarkEnd w:id="0"/>
    </w:p>
    <w:p w:rsidR="009144F2" w:rsidRPr="006917FB" w:rsidRDefault="00B775CB" w:rsidP="009144F2">
      <w:pPr>
        <w:pStyle w:val="Pa4"/>
        <w:spacing w:line="240" w:lineRule="auto"/>
        <w:rPr>
          <w:rFonts w:ascii="Arial" w:eastAsia="Times New Roman" w:hAnsi="Arial" w:cs="Arial"/>
          <w:b/>
          <w:bCs/>
          <w:sz w:val="22"/>
          <w:szCs w:val="22"/>
          <w:lang w:val="fr-FR"/>
        </w:rPr>
      </w:pPr>
      <w:r w:rsidRPr="009144F2">
        <w:rPr>
          <w:rFonts w:ascii="Arial" w:hAnsi="Arial" w:cs="Arial"/>
          <w:b/>
          <w:bCs/>
          <w:sz w:val="22"/>
          <w:szCs w:val="22"/>
        </w:rPr>
        <w:t>Projet de loi</w:t>
      </w:r>
      <w:r w:rsidR="009144F2" w:rsidRPr="009144F2">
        <w:rPr>
          <w:rFonts w:ascii="Arial" w:hAnsi="Arial" w:cs="Arial"/>
          <w:b/>
          <w:bCs/>
          <w:sz w:val="22"/>
          <w:szCs w:val="22"/>
        </w:rPr>
        <w:t xml:space="preserve"> </w:t>
      </w:r>
      <w:r w:rsidR="009144F2" w:rsidRPr="009144F2">
        <w:rPr>
          <w:rFonts w:ascii="Arial" w:hAnsi="Arial" w:cs="Arial"/>
          <w:b/>
          <w:noProof/>
          <w:sz w:val="22"/>
          <w:szCs w:val="22"/>
          <w:lang w:val="fr-FR"/>
        </w:rPr>
        <w:t>6847</w:t>
      </w:r>
      <w:r w:rsidR="009144F2">
        <w:rPr>
          <w:rFonts w:ascii="Arial" w:hAnsi="Arial" w:cs="Arial"/>
          <w:b/>
          <w:noProof/>
          <w:sz w:val="22"/>
          <w:szCs w:val="22"/>
          <w:lang w:val="fr-FR"/>
        </w:rPr>
        <w:t xml:space="preserve"> </w:t>
      </w:r>
      <w:r w:rsidR="00555E17" w:rsidRPr="006917FB">
        <w:rPr>
          <w:rFonts w:ascii="Arial" w:eastAsia="Times New Roman" w:hAnsi="Arial" w:cs="Arial"/>
          <w:b/>
          <w:bCs/>
          <w:sz w:val="22"/>
          <w:szCs w:val="22"/>
          <w:lang w:val="fr-FR"/>
        </w:rPr>
        <w:t>du (...)</w:t>
      </w:r>
    </w:p>
    <w:p w:rsidR="00555E17" w:rsidRPr="009144F2" w:rsidRDefault="00555E17" w:rsidP="009144F2">
      <w:pPr>
        <w:pStyle w:val="Pa4"/>
        <w:spacing w:line="240" w:lineRule="auto"/>
        <w:rPr>
          <w:rFonts w:ascii="Arial" w:hAnsi="Arial" w:cs="Arial"/>
          <w:b/>
          <w:bCs/>
          <w:sz w:val="22"/>
          <w:szCs w:val="22"/>
        </w:rPr>
      </w:pPr>
      <w:r w:rsidRPr="006917FB">
        <w:rPr>
          <w:rFonts w:ascii="Arial" w:eastAsia="Times New Roman" w:hAnsi="Arial" w:cs="Arial"/>
          <w:b/>
          <w:bCs/>
          <w:sz w:val="22"/>
          <w:szCs w:val="22"/>
          <w:lang w:val="fr-FR"/>
        </w:rPr>
        <w:t>portant transposition</w:t>
      </w:r>
    </w:p>
    <w:p w:rsidR="00555E17" w:rsidRPr="006917FB" w:rsidRDefault="00555E17" w:rsidP="00D16CED">
      <w:pPr>
        <w:pStyle w:val="Paragraphedeliste"/>
        <w:widowControl w:val="0"/>
        <w:numPr>
          <w:ilvl w:val="0"/>
          <w:numId w:val="33"/>
        </w:numPr>
        <w:tabs>
          <w:tab w:val="left" w:pos="220"/>
          <w:tab w:val="left" w:pos="720"/>
        </w:tabs>
        <w:autoSpaceDE w:val="0"/>
        <w:autoSpaceDN w:val="0"/>
        <w:adjustRightInd w:val="0"/>
        <w:spacing w:after="0" w:line="240" w:lineRule="auto"/>
        <w:jc w:val="both"/>
        <w:rPr>
          <w:rFonts w:ascii="Arial" w:eastAsia="Times New Roman" w:hAnsi="Arial" w:cs="Arial"/>
        </w:rPr>
      </w:pPr>
      <w:r w:rsidRPr="006917FB">
        <w:rPr>
          <w:rFonts w:ascii="Arial" w:eastAsia="Times New Roman" w:hAnsi="Arial" w:cs="Arial"/>
          <w:b/>
          <w:bCs/>
        </w:rPr>
        <w:t>de la directive 2014/86/UE du</w:t>
      </w:r>
      <w:r w:rsidR="00B031AE" w:rsidRPr="006917FB">
        <w:rPr>
          <w:rFonts w:ascii="Arial" w:eastAsia="Times New Roman" w:hAnsi="Arial" w:cs="Arial"/>
          <w:b/>
          <w:bCs/>
        </w:rPr>
        <w:t xml:space="preserve"> Conseil du 8 juillet 2014 modi</w:t>
      </w:r>
      <w:r w:rsidRPr="006917FB">
        <w:rPr>
          <w:rFonts w:ascii="Arial" w:eastAsia="Times New Roman" w:hAnsi="Arial" w:cs="Arial"/>
          <w:b/>
          <w:bCs/>
        </w:rPr>
        <w:t>fiant la directive 2011/96/UE concernant le régime fiscal commun applicable aux sociétés mères et filiales d’Etats membres différents;</w:t>
      </w:r>
    </w:p>
    <w:p w:rsidR="00555E17" w:rsidRPr="006917FB" w:rsidRDefault="00555E17" w:rsidP="00D16CED">
      <w:pPr>
        <w:pStyle w:val="Paragraphedeliste"/>
        <w:widowControl w:val="0"/>
        <w:numPr>
          <w:ilvl w:val="0"/>
          <w:numId w:val="33"/>
        </w:numPr>
        <w:tabs>
          <w:tab w:val="left" w:pos="220"/>
          <w:tab w:val="left" w:pos="720"/>
        </w:tabs>
        <w:autoSpaceDE w:val="0"/>
        <w:autoSpaceDN w:val="0"/>
        <w:adjustRightInd w:val="0"/>
        <w:spacing w:after="0" w:line="240" w:lineRule="auto"/>
        <w:jc w:val="both"/>
        <w:rPr>
          <w:rFonts w:ascii="Arial" w:eastAsia="Times New Roman" w:hAnsi="Arial" w:cs="Arial"/>
        </w:rPr>
      </w:pPr>
      <w:r w:rsidRPr="006917FB">
        <w:rPr>
          <w:rFonts w:ascii="Arial" w:eastAsia="Times New Roman" w:hAnsi="Arial" w:cs="Arial"/>
          <w:b/>
          <w:bCs/>
        </w:rPr>
        <w:t>de la directive 2015/121/UE du Conseil du 27 janvier 2015 modifiant la directive 2011/96/UE concernant le régime fiscal commun applicable aux sociétés mères et filiales d’Etats membres différents;</w:t>
      </w:r>
    </w:p>
    <w:p w:rsidR="00555E17" w:rsidRPr="006917FB" w:rsidRDefault="00555E17" w:rsidP="00D16CED">
      <w:pPr>
        <w:widowControl w:val="0"/>
        <w:tabs>
          <w:tab w:val="left" w:pos="220"/>
          <w:tab w:val="left" w:pos="720"/>
        </w:tabs>
        <w:autoSpaceDE w:val="0"/>
        <w:autoSpaceDN w:val="0"/>
        <w:adjustRightInd w:val="0"/>
        <w:jc w:val="both"/>
        <w:rPr>
          <w:rFonts w:ascii="Arial" w:eastAsia="Times New Roman" w:hAnsi="Arial" w:cs="Arial"/>
          <w:sz w:val="22"/>
          <w:szCs w:val="22"/>
        </w:rPr>
      </w:pPr>
      <w:r w:rsidRPr="006917FB">
        <w:rPr>
          <w:rFonts w:ascii="Arial" w:eastAsia="Times New Roman" w:hAnsi="Arial" w:cs="Arial"/>
          <w:b/>
          <w:bCs/>
          <w:sz w:val="22"/>
          <w:szCs w:val="22"/>
        </w:rPr>
        <w:t>portant modification</w:t>
      </w:r>
    </w:p>
    <w:p w:rsidR="00555E17" w:rsidRPr="006917FB" w:rsidRDefault="00555E17" w:rsidP="00D16CED">
      <w:pPr>
        <w:pStyle w:val="Paragraphedeliste"/>
        <w:widowControl w:val="0"/>
        <w:numPr>
          <w:ilvl w:val="0"/>
          <w:numId w:val="33"/>
        </w:numPr>
        <w:tabs>
          <w:tab w:val="left" w:pos="220"/>
          <w:tab w:val="left" w:pos="720"/>
        </w:tabs>
        <w:autoSpaceDE w:val="0"/>
        <w:autoSpaceDN w:val="0"/>
        <w:adjustRightInd w:val="0"/>
        <w:spacing w:after="0" w:line="240" w:lineRule="auto"/>
        <w:jc w:val="both"/>
        <w:rPr>
          <w:rFonts w:ascii="Arial" w:eastAsia="Times New Roman" w:hAnsi="Arial" w:cs="Arial"/>
        </w:rPr>
      </w:pPr>
      <w:r w:rsidRPr="006917FB">
        <w:rPr>
          <w:rFonts w:ascii="Arial" w:eastAsia="Times New Roman" w:hAnsi="Arial" w:cs="Arial"/>
          <w:b/>
          <w:bCs/>
        </w:rPr>
        <w:t>de la loi modifiée du 4 décembre 1967 concernant l’impôt sur le revenu;</w:t>
      </w:r>
    </w:p>
    <w:p w:rsidR="00555E17" w:rsidRPr="006917FB" w:rsidRDefault="0049509D" w:rsidP="00D16CED">
      <w:pPr>
        <w:pStyle w:val="Paragraphedeliste"/>
        <w:widowControl w:val="0"/>
        <w:numPr>
          <w:ilvl w:val="0"/>
          <w:numId w:val="33"/>
        </w:numPr>
        <w:tabs>
          <w:tab w:val="left" w:pos="220"/>
          <w:tab w:val="left" w:pos="720"/>
        </w:tabs>
        <w:autoSpaceDE w:val="0"/>
        <w:autoSpaceDN w:val="0"/>
        <w:adjustRightInd w:val="0"/>
        <w:spacing w:after="0" w:line="240" w:lineRule="auto"/>
        <w:jc w:val="both"/>
        <w:rPr>
          <w:rFonts w:ascii="Arial" w:eastAsia="Times New Roman" w:hAnsi="Arial" w:cs="Arial"/>
        </w:rPr>
      </w:pPr>
      <w:r w:rsidRPr="006917FB">
        <w:rPr>
          <w:rFonts w:ascii="Arial" w:eastAsia="Times New Roman" w:hAnsi="Arial" w:cs="Arial"/>
          <w:b/>
          <w:bCs/>
        </w:rPr>
        <w:t>de la loi modifiée du 16 octobre</w:t>
      </w:r>
      <w:r w:rsidR="00555E17" w:rsidRPr="006917FB">
        <w:rPr>
          <w:rFonts w:ascii="Arial" w:eastAsia="Times New Roman" w:hAnsi="Arial" w:cs="Arial"/>
          <w:b/>
          <w:bCs/>
        </w:rPr>
        <w:t xml:space="preserve"> 1934 sur l’évaluation des biens et valeurs;</w:t>
      </w:r>
    </w:p>
    <w:p w:rsidR="00555E17" w:rsidRPr="006917FB" w:rsidRDefault="00555E17" w:rsidP="00D16CED">
      <w:pPr>
        <w:pStyle w:val="Paragraphedeliste"/>
        <w:widowControl w:val="0"/>
        <w:numPr>
          <w:ilvl w:val="0"/>
          <w:numId w:val="33"/>
        </w:numPr>
        <w:tabs>
          <w:tab w:val="left" w:pos="220"/>
          <w:tab w:val="left" w:pos="720"/>
        </w:tabs>
        <w:autoSpaceDE w:val="0"/>
        <w:autoSpaceDN w:val="0"/>
        <w:adjustRightInd w:val="0"/>
        <w:spacing w:after="0" w:line="240" w:lineRule="auto"/>
        <w:jc w:val="both"/>
        <w:rPr>
          <w:rFonts w:ascii="Arial" w:eastAsia="Times New Roman" w:hAnsi="Arial" w:cs="Arial"/>
        </w:rPr>
      </w:pPr>
      <w:r w:rsidRPr="006917FB">
        <w:rPr>
          <w:rFonts w:ascii="Arial" w:eastAsia="Times New Roman" w:hAnsi="Arial" w:cs="Arial"/>
          <w:b/>
          <w:bCs/>
        </w:rPr>
        <w:t>de la loi modifiée du 1er décembre 1936 concernant l’impôt commercial;</w:t>
      </w:r>
    </w:p>
    <w:p w:rsidR="00555E17" w:rsidRPr="006917FB" w:rsidRDefault="00555E17" w:rsidP="00D16CED">
      <w:pPr>
        <w:pStyle w:val="Paragraphedeliste"/>
        <w:widowControl w:val="0"/>
        <w:numPr>
          <w:ilvl w:val="0"/>
          <w:numId w:val="33"/>
        </w:numPr>
        <w:tabs>
          <w:tab w:val="left" w:pos="220"/>
          <w:tab w:val="left" w:pos="720"/>
        </w:tabs>
        <w:autoSpaceDE w:val="0"/>
        <w:autoSpaceDN w:val="0"/>
        <w:adjustRightInd w:val="0"/>
        <w:spacing w:after="0" w:line="240" w:lineRule="auto"/>
        <w:jc w:val="both"/>
        <w:rPr>
          <w:rFonts w:ascii="Arial" w:eastAsia="Times New Roman" w:hAnsi="Arial" w:cs="Arial"/>
        </w:rPr>
      </w:pPr>
      <w:r w:rsidRPr="006917FB">
        <w:rPr>
          <w:rFonts w:ascii="Arial" w:eastAsia="Times New Roman" w:hAnsi="Arial" w:cs="Arial"/>
          <w:b/>
          <w:bCs/>
        </w:rPr>
        <w:t>de la loi générale des impôts modifiée du 22 mai 1931 („Abgabenordnung“);</w:t>
      </w:r>
    </w:p>
    <w:p w:rsidR="00555E17" w:rsidRPr="006917FB" w:rsidRDefault="00555E17" w:rsidP="00D16CED">
      <w:pPr>
        <w:pStyle w:val="Paragraphedeliste"/>
        <w:widowControl w:val="0"/>
        <w:numPr>
          <w:ilvl w:val="0"/>
          <w:numId w:val="33"/>
        </w:numPr>
        <w:tabs>
          <w:tab w:val="left" w:pos="220"/>
          <w:tab w:val="left" w:pos="720"/>
        </w:tabs>
        <w:autoSpaceDE w:val="0"/>
        <w:autoSpaceDN w:val="0"/>
        <w:adjustRightInd w:val="0"/>
        <w:spacing w:after="0" w:line="240" w:lineRule="auto"/>
        <w:jc w:val="both"/>
        <w:rPr>
          <w:rFonts w:ascii="Arial" w:eastAsia="Times New Roman" w:hAnsi="Arial" w:cs="Arial"/>
        </w:rPr>
      </w:pPr>
      <w:r w:rsidRPr="006917FB">
        <w:rPr>
          <w:rFonts w:ascii="Arial" w:eastAsia="Times New Roman" w:hAnsi="Arial" w:cs="Arial"/>
          <w:b/>
          <w:bCs/>
        </w:rPr>
        <w:t>de la loi modifiée du 24 décembre 1996 portant introduction d’une bonification d’impôt sur le revenu en cas d’embauchage de chômeurs</w:t>
      </w:r>
    </w:p>
    <w:p w:rsidR="006E1070" w:rsidRPr="00EA1995" w:rsidRDefault="006E1070" w:rsidP="006E1070">
      <w:pPr>
        <w:rPr>
          <w:lang w:val="fr-LU"/>
        </w:rPr>
      </w:pPr>
    </w:p>
    <w:p w:rsidR="00473505" w:rsidRPr="006917FB" w:rsidRDefault="002D0764" w:rsidP="004C1D08">
      <w:pPr>
        <w:widowControl w:val="0"/>
        <w:tabs>
          <w:tab w:val="left" w:pos="220"/>
          <w:tab w:val="left" w:pos="720"/>
        </w:tabs>
        <w:autoSpaceDE w:val="0"/>
        <w:autoSpaceDN w:val="0"/>
        <w:adjustRightInd w:val="0"/>
        <w:spacing w:after="240"/>
        <w:jc w:val="both"/>
        <w:rPr>
          <w:rFonts w:ascii="Arial" w:eastAsia="Times New Roman" w:hAnsi="Arial" w:cs="Arial"/>
          <w:bCs/>
          <w:sz w:val="22"/>
          <w:szCs w:val="22"/>
          <w:lang w:val="fr-FR"/>
        </w:rPr>
      </w:pPr>
      <w:r w:rsidRPr="006917FB">
        <w:rPr>
          <w:rFonts w:ascii="Arial" w:eastAsia="Times New Roman" w:hAnsi="Arial" w:cs="Arial"/>
          <w:color w:val="000000"/>
          <w:sz w:val="22"/>
          <w:szCs w:val="22"/>
          <w:lang w:val="fr-FR"/>
        </w:rPr>
        <w:t xml:space="preserve">Le projet de loi a </w:t>
      </w:r>
      <w:r w:rsidR="009144F2" w:rsidRPr="006917FB">
        <w:rPr>
          <w:rFonts w:ascii="Arial" w:eastAsia="Times New Roman" w:hAnsi="Arial" w:cs="Arial"/>
          <w:color w:val="000000"/>
          <w:sz w:val="22"/>
          <w:szCs w:val="22"/>
          <w:lang w:val="fr-FR"/>
        </w:rPr>
        <w:t>pour</w:t>
      </w:r>
      <w:r w:rsidRPr="006917FB">
        <w:rPr>
          <w:rFonts w:ascii="Arial" w:eastAsia="Times New Roman" w:hAnsi="Arial" w:cs="Arial"/>
          <w:color w:val="000000"/>
          <w:sz w:val="22"/>
          <w:szCs w:val="22"/>
          <w:lang w:val="fr-FR"/>
        </w:rPr>
        <w:t xml:space="preserve"> objet</w:t>
      </w:r>
      <w:r w:rsidRPr="006917FB">
        <w:rPr>
          <w:rFonts w:ascii="Arial" w:eastAsia="Times New Roman" w:hAnsi="Arial" w:cs="Arial"/>
          <w:sz w:val="22"/>
          <w:szCs w:val="22"/>
          <w:lang w:val="fr-FR"/>
        </w:rPr>
        <w:t xml:space="preserve"> de</w:t>
      </w:r>
      <w:r w:rsidRPr="006917FB">
        <w:rPr>
          <w:rFonts w:ascii="Arial" w:eastAsia="Times New Roman" w:hAnsi="Arial" w:cs="Arial"/>
          <w:bCs/>
          <w:sz w:val="22"/>
          <w:szCs w:val="22"/>
          <w:lang w:val="fr-FR"/>
        </w:rPr>
        <w:t xml:space="preserve"> transposer en droit interne les directives</w:t>
      </w:r>
      <w:r w:rsidR="00245A5A" w:rsidRPr="00245A5A">
        <w:rPr>
          <w:rStyle w:val="A8"/>
          <w:rFonts w:ascii="Arial" w:hAnsi="Arial" w:cs="Arial"/>
          <w:sz w:val="22"/>
          <w:szCs w:val="22"/>
          <w:u w:val="none"/>
          <w:lang w:val="fr-FR"/>
        </w:rPr>
        <w:t xml:space="preserve"> 2014/86/UE </w:t>
      </w:r>
      <w:r w:rsidR="00245A5A" w:rsidRPr="00245A5A">
        <w:rPr>
          <w:rFonts w:ascii="Arial" w:hAnsi="Arial" w:cs="Arial"/>
          <w:color w:val="000000"/>
          <w:sz w:val="22"/>
          <w:szCs w:val="22"/>
          <w:lang w:val="fr-FR"/>
        </w:rPr>
        <w:t xml:space="preserve">et </w:t>
      </w:r>
      <w:r w:rsidR="00245A5A" w:rsidRPr="00245A5A">
        <w:rPr>
          <w:rStyle w:val="A8"/>
          <w:rFonts w:ascii="Arial" w:hAnsi="Arial" w:cs="Arial"/>
          <w:sz w:val="22"/>
          <w:szCs w:val="22"/>
          <w:u w:val="none"/>
          <w:lang w:val="fr-FR"/>
        </w:rPr>
        <w:t xml:space="preserve">2015/121/UE </w:t>
      </w:r>
      <w:r w:rsidR="00245A5A" w:rsidRPr="00245A5A">
        <w:rPr>
          <w:rFonts w:ascii="Arial" w:hAnsi="Arial" w:cs="Arial"/>
          <w:color w:val="000000"/>
          <w:sz w:val="22"/>
          <w:szCs w:val="22"/>
          <w:lang w:val="fr-FR"/>
        </w:rPr>
        <w:t xml:space="preserve">qui modifient la directive </w:t>
      </w:r>
      <w:r w:rsidR="00245A5A" w:rsidRPr="00245A5A">
        <w:rPr>
          <w:rStyle w:val="A8"/>
          <w:rFonts w:ascii="Arial" w:hAnsi="Arial" w:cs="Arial"/>
          <w:sz w:val="22"/>
          <w:szCs w:val="22"/>
          <w:u w:val="none"/>
          <w:lang w:val="fr-FR"/>
        </w:rPr>
        <w:t xml:space="preserve">2011/96/UE </w:t>
      </w:r>
      <w:r w:rsidR="00245A5A" w:rsidRPr="00245A5A">
        <w:rPr>
          <w:rFonts w:ascii="Arial" w:hAnsi="Arial" w:cs="Arial"/>
          <w:color w:val="000000"/>
          <w:sz w:val="22"/>
          <w:szCs w:val="22"/>
          <w:lang w:val="fr-FR"/>
        </w:rPr>
        <w:t>du Conseil du 30 novembre 2011</w:t>
      </w:r>
      <w:r w:rsidR="0049509D" w:rsidRPr="006917FB">
        <w:rPr>
          <w:rFonts w:ascii="Arial" w:eastAsia="Times New Roman" w:hAnsi="Arial" w:cs="Arial"/>
          <w:bCs/>
          <w:sz w:val="22"/>
          <w:szCs w:val="22"/>
          <w:lang w:val="fr-FR"/>
        </w:rPr>
        <w:t>, de prolonger de deux années</w:t>
      </w:r>
      <w:r w:rsidRPr="006917FB">
        <w:rPr>
          <w:rFonts w:ascii="Arial" w:eastAsia="Times New Roman" w:hAnsi="Arial" w:cs="Arial"/>
          <w:bCs/>
          <w:sz w:val="22"/>
          <w:szCs w:val="22"/>
          <w:lang w:val="fr-FR"/>
        </w:rPr>
        <w:t xml:space="preserve"> la bonification d’imp</w:t>
      </w:r>
      <w:r w:rsidR="0049509D" w:rsidRPr="006917FB">
        <w:rPr>
          <w:rFonts w:ascii="Arial" w:eastAsia="Times New Roman" w:hAnsi="Arial" w:cs="Arial"/>
          <w:bCs/>
          <w:sz w:val="22"/>
          <w:szCs w:val="22"/>
          <w:lang w:val="fr-FR"/>
        </w:rPr>
        <w:t xml:space="preserve">ôt pour embauchage de chômeurs et de modifier </w:t>
      </w:r>
      <w:r w:rsidRPr="006917FB">
        <w:rPr>
          <w:rFonts w:ascii="Arial" w:eastAsia="Times New Roman" w:hAnsi="Arial" w:cs="Arial"/>
          <w:bCs/>
          <w:sz w:val="22"/>
          <w:szCs w:val="22"/>
          <w:lang w:val="fr-FR"/>
        </w:rPr>
        <w:t>certaines dispositions ayant trait aux impôts directs</w:t>
      </w:r>
      <w:r w:rsidR="0049509D" w:rsidRPr="006917FB">
        <w:rPr>
          <w:rFonts w:ascii="Arial" w:eastAsia="Times New Roman" w:hAnsi="Arial" w:cs="Arial"/>
          <w:sz w:val="22"/>
          <w:szCs w:val="22"/>
          <w:lang w:val="fr-FR"/>
        </w:rPr>
        <w:t>.</w:t>
      </w:r>
      <w:r w:rsidR="004C1D08" w:rsidRPr="006917FB">
        <w:rPr>
          <w:rFonts w:ascii="Arial" w:eastAsia="Times New Roman" w:hAnsi="Arial" w:cs="Arial"/>
          <w:sz w:val="22"/>
          <w:szCs w:val="22"/>
          <w:lang w:val="fr-FR"/>
        </w:rPr>
        <w:t xml:space="preserve"> </w:t>
      </w:r>
    </w:p>
    <w:p w:rsidR="00A25983" w:rsidRPr="006917FB" w:rsidRDefault="00A25983" w:rsidP="009144F2">
      <w:pPr>
        <w:widowControl w:val="0"/>
        <w:tabs>
          <w:tab w:val="left" w:pos="220"/>
          <w:tab w:val="left" w:pos="720"/>
        </w:tabs>
        <w:autoSpaceDE w:val="0"/>
        <w:autoSpaceDN w:val="0"/>
        <w:adjustRightInd w:val="0"/>
        <w:spacing w:after="240"/>
        <w:rPr>
          <w:rFonts w:ascii="Arial" w:eastAsia="Times New Roman" w:hAnsi="Arial" w:cs="Arial"/>
          <w:i/>
          <w:sz w:val="22"/>
          <w:szCs w:val="22"/>
          <w:lang w:val="fr-FR"/>
        </w:rPr>
      </w:pPr>
      <w:r w:rsidRPr="006917FB">
        <w:rPr>
          <w:rFonts w:ascii="Arial" w:eastAsia="Times New Roman" w:hAnsi="Arial" w:cs="Arial"/>
          <w:i/>
          <w:sz w:val="22"/>
          <w:szCs w:val="22"/>
          <w:lang w:val="fr-FR"/>
        </w:rPr>
        <w:t>La directive de 2011 et ses modifications de 2014 et 2015</w:t>
      </w:r>
    </w:p>
    <w:p w:rsidR="00E96EE4" w:rsidRPr="006917FB" w:rsidRDefault="009144F2" w:rsidP="00E96EE4">
      <w:pPr>
        <w:widowControl w:val="0"/>
        <w:tabs>
          <w:tab w:val="left" w:pos="220"/>
          <w:tab w:val="left" w:pos="720"/>
        </w:tabs>
        <w:autoSpaceDE w:val="0"/>
        <w:autoSpaceDN w:val="0"/>
        <w:adjustRightInd w:val="0"/>
        <w:spacing w:after="240"/>
        <w:jc w:val="both"/>
        <w:rPr>
          <w:rFonts w:ascii="Arial" w:eastAsia="Times New Roman" w:hAnsi="Arial" w:cs="Arial"/>
          <w:sz w:val="22"/>
          <w:szCs w:val="22"/>
          <w:lang w:val="fr-FR"/>
        </w:rPr>
      </w:pPr>
      <w:r w:rsidRPr="006917FB">
        <w:rPr>
          <w:rFonts w:ascii="Arial" w:eastAsia="Times New Roman" w:hAnsi="Arial" w:cs="Arial"/>
          <w:sz w:val="22"/>
          <w:szCs w:val="22"/>
          <w:lang w:val="fr-FR"/>
        </w:rPr>
        <w:t>L</w:t>
      </w:r>
      <w:r w:rsidR="004C1D08" w:rsidRPr="006917FB">
        <w:rPr>
          <w:rFonts w:ascii="Arial" w:eastAsia="Times New Roman" w:hAnsi="Arial" w:cs="Arial"/>
          <w:sz w:val="22"/>
          <w:szCs w:val="22"/>
          <w:lang w:val="fr-FR"/>
        </w:rPr>
        <w:t xml:space="preserve">a directive </w:t>
      </w:r>
      <w:r w:rsidR="004C1D08" w:rsidRPr="006917FB">
        <w:rPr>
          <w:rFonts w:ascii="Arial" w:eastAsia="Times New Roman" w:hAnsi="Arial" w:cs="Arial"/>
          <w:sz w:val="22"/>
          <w:szCs w:val="22"/>
          <w:u w:val="single"/>
          <w:lang w:val="fr-FR"/>
        </w:rPr>
        <w:t>2011/96/UE</w:t>
      </w:r>
      <w:r w:rsidR="004C1D08" w:rsidRPr="006917FB">
        <w:rPr>
          <w:rFonts w:ascii="Arial" w:eastAsia="Times New Roman" w:hAnsi="Arial" w:cs="Arial"/>
          <w:sz w:val="22"/>
          <w:szCs w:val="22"/>
          <w:lang w:val="fr-FR"/>
        </w:rPr>
        <w:t xml:space="preserve"> exonère de retenue à la source les dividendes et autres bénéfices distribués par des filiales à leur société mère et élimine la double imposition de ces revenu</w:t>
      </w:r>
      <w:r w:rsidR="00E96EE4" w:rsidRPr="006917FB">
        <w:rPr>
          <w:rFonts w:ascii="Arial" w:eastAsia="Times New Roman" w:hAnsi="Arial" w:cs="Arial"/>
          <w:sz w:val="22"/>
          <w:szCs w:val="22"/>
          <w:lang w:val="fr-FR"/>
        </w:rPr>
        <w:t>s au niveau de la société mère.</w:t>
      </w:r>
    </w:p>
    <w:p w:rsidR="00573268" w:rsidRPr="006917FB" w:rsidRDefault="00FE43BF" w:rsidP="00741090">
      <w:pPr>
        <w:widowControl w:val="0"/>
        <w:tabs>
          <w:tab w:val="left" w:pos="220"/>
          <w:tab w:val="left" w:pos="720"/>
        </w:tabs>
        <w:autoSpaceDE w:val="0"/>
        <w:autoSpaceDN w:val="0"/>
        <w:adjustRightInd w:val="0"/>
        <w:spacing w:after="240"/>
        <w:jc w:val="both"/>
        <w:rPr>
          <w:rFonts w:ascii="Arial" w:eastAsia="Times New Roman" w:hAnsi="Arial" w:cs="Arial"/>
          <w:bCs/>
          <w:sz w:val="22"/>
          <w:szCs w:val="22"/>
          <w:lang w:val="fr-FR"/>
        </w:rPr>
      </w:pPr>
      <w:r w:rsidRPr="006917FB">
        <w:rPr>
          <w:rFonts w:ascii="Arial" w:eastAsia="Times New Roman" w:hAnsi="Arial" w:cs="Arial"/>
          <w:sz w:val="22"/>
          <w:szCs w:val="22"/>
          <w:lang w:val="fr-FR"/>
        </w:rPr>
        <w:t>L</w:t>
      </w:r>
      <w:r w:rsidR="004C1D08" w:rsidRPr="006917FB">
        <w:rPr>
          <w:rFonts w:ascii="Arial" w:eastAsia="Times New Roman" w:hAnsi="Arial" w:cs="Arial"/>
          <w:sz w:val="22"/>
          <w:szCs w:val="22"/>
          <w:lang w:val="fr-FR"/>
        </w:rPr>
        <w:t xml:space="preserve">a directive </w:t>
      </w:r>
      <w:r w:rsidR="004C1D08" w:rsidRPr="006917FB">
        <w:rPr>
          <w:rFonts w:ascii="Arial" w:eastAsia="Times New Roman" w:hAnsi="Arial" w:cs="Arial"/>
          <w:bCs/>
          <w:sz w:val="22"/>
          <w:szCs w:val="22"/>
          <w:u w:val="single"/>
          <w:lang w:val="fr-FR"/>
        </w:rPr>
        <w:t>2014/86/UE</w:t>
      </w:r>
      <w:r w:rsidR="004C1D08" w:rsidRPr="006917FB">
        <w:rPr>
          <w:rFonts w:ascii="Arial" w:eastAsia="Times New Roman" w:hAnsi="Arial" w:cs="Arial"/>
          <w:bCs/>
          <w:sz w:val="22"/>
          <w:szCs w:val="22"/>
          <w:lang w:val="fr-FR"/>
        </w:rPr>
        <w:t xml:space="preserve"> apporte des modifications à celle de 2011</w:t>
      </w:r>
      <w:r w:rsidRPr="006917FB">
        <w:rPr>
          <w:rFonts w:ascii="Arial" w:eastAsia="Times New Roman" w:hAnsi="Arial" w:cs="Arial"/>
          <w:bCs/>
          <w:sz w:val="22"/>
          <w:szCs w:val="22"/>
          <w:lang w:val="fr-FR"/>
        </w:rPr>
        <w:t xml:space="preserve"> dans le sens qu’e</w:t>
      </w:r>
      <w:r w:rsidR="00741090" w:rsidRPr="006917FB">
        <w:rPr>
          <w:rFonts w:ascii="Arial" w:eastAsia="Times New Roman" w:hAnsi="Arial" w:cs="Arial"/>
          <w:sz w:val="22"/>
          <w:szCs w:val="22"/>
          <w:lang w:val="fr-FR"/>
        </w:rPr>
        <w:t>lle modifie</w:t>
      </w:r>
      <w:r w:rsidR="00573268" w:rsidRPr="006917FB">
        <w:rPr>
          <w:rFonts w:ascii="Arial" w:eastAsia="Times New Roman" w:hAnsi="Arial" w:cs="Arial"/>
          <w:sz w:val="22"/>
          <w:szCs w:val="22"/>
          <w:lang w:val="fr-FR"/>
        </w:rPr>
        <w:t xml:space="preserve"> </w:t>
      </w:r>
      <w:r w:rsidR="00741090" w:rsidRPr="006917FB">
        <w:rPr>
          <w:rFonts w:ascii="Arial" w:eastAsia="Times New Roman" w:hAnsi="Arial" w:cs="Arial"/>
          <w:sz w:val="22"/>
          <w:szCs w:val="22"/>
          <w:lang w:val="fr-FR"/>
        </w:rPr>
        <w:t>la directive 2011/96/UE de manière à ce que les revenus provenant d’une participation qualifiée détenue dans un organisme à caractère collectif résident d’un autre Etat membre ne sont plus exonérés et doivent être imposés dans l’Etat membre de la société mère dans la mesure où ils sont déductibles dans le chef de la filiale non résidente.</w:t>
      </w:r>
    </w:p>
    <w:p w:rsidR="00741090" w:rsidRPr="006917FB" w:rsidRDefault="00573268" w:rsidP="00741090">
      <w:pPr>
        <w:widowControl w:val="0"/>
        <w:tabs>
          <w:tab w:val="left" w:pos="220"/>
          <w:tab w:val="left" w:pos="720"/>
        </w:tabs>
        <w:autoSpaceDE w:val="0"/>
        <w:autoSpaceDN w:val="0"/>
        <w:adjustRightInd w:val="0"/>
        <w:spacing w:after="240"/>
        <w:jc w:val="both"/>
        <w:rPr>
          <w:rFonts w:ascii="Arial" w:eastAsia="Times New Roman" w:hAnsi="Arial" w:cs="Arial"/>
          <w:bCs/>
          <w:sz w:val="22"/>
          <w:szCs w:val="22"/>
          <w:lang w:val="fr-FR"/>
        </w:rPr>
      </w:pPr>
      <w:r w:rsidRPr="006917FB">
        <w:rPr>
          <w:rFonts w:ascii="Arial" w:eastAsia="Times New Roman" w:hAnsi="Arial" w:cs="Arial"/>
          <w:sz w:val="22"/>
          <w:szCs w:val="22"/>
          <w:lang w:val="fr-FR"/>
        </w:rPr>
        <w:t xml:space="preserve">La directive 2014/86/UE </w:t>
      </w:r>
      <w:r w:rsidR="00E96EE4" w:rsidRPr="006917FB">
        <w:rPr>
          <w:rFonts w:ascii="Arial" w:eastAsia="Times New Roman" w:hAnsi="Arial" w:cs="Arial"/>
          <w:sz w:val="22"/>
          <w:szCs w:val="22"/>
          <w:lang w:val="fr-FR"/>
        </w:rPr>
        <w:t>s’inscrit donc dans le contexte de la lutte contre l’érosion de la base imposable et les transferts de bénéfices. L’utilisation d’instruments financiers hybrides qui ont à la fois des caractéristiques de dette et de capitaux propres a en effet été identifiée comme un outil permettant aux entreprises d’obtenir un avantage fiscal injustifié.</w:t>
      </w:r>
    </w:p>
    <w:p w:rsidR="00741090" w:rsidRPr="006917FB" w:rsidRDefault="00741090" w:rsidP="00741090">
      <w:pPr>
        <w:widowControl w:val="0"/>
        <w:autoSpaceDE w:val="0"/>
        <w:autoSpaceDN w:val="0"/>
        <w:adjustRightInd w:val="0"/>
        <w:spacing w:after="240"/>
        <w:jc w:val="both"/>
        <w:rPr>
          <w:rFonts w:ascii="Arial" w:eastAsia="Times New Roman" w:hAnsi="Arial" w:cs="Arial"/>
          <w:sz w:val="22"/>
          <w:szCs w:val="22"/>
          <w:lang w:val="fr-FR"/>
        </w:rPr>
      </w:pPr>
      <w:r w:rsidRPr="006917FB">
        <w:rPr>
          <w:rFonts w:ascii="Arial" w:eastAsia="Times New Roman" w:hAnsi="Arial" w:cs="Arial"/>
          <w:sz w:val="22"/>
          <w:szCs w:val="22"/>
          <w:lang w:val="fr-FR"/>
        </w:rPr>
        <w:t xml:space="preserve">En outre, </w:t>
      </w:r>
      <w:r w:rsidR="00573268" w:rsidRPr="006917FB">
        <w:rPr>
          <w:rFonts w:ascii="Arial" w:eastAsia="Times New Roman" w:hAnsi="Arial" w:cs="Arial"/>
          <w:sz w:val="22"/>
          <w:szCs w:val="22"/>
          <w:lang w:val="fr-FR"/>
        </w:rPr>
        <w:t>elle</w:t>
      </w:r>
      <w:r w:rsidRPr="006917FB">
        <w:rPr>
          <w:rFonts w:ascii="Arial" w:eastAsia="Times New Roman" w:hAnsi="Arial" w:cs="Arial"/>
          <w:sz w:val="22"/>
          <w:szCs w:val="22"/>
          <w:lang w:val="fr-FR"/>
        </w:rPr>
        <w:t xml:space="preserve"> actualise la liste des sociétés des Etats membres auxquelles s’appliquent dorénavant les dispositions de la directive 2011/96/UE. </w:t>
      </w:r>
    </w:p>
    <w:p w:rsidR="00A25983" w:rsidRPr="006917FB" w:rsidRDefault="00A25983" w:rsidP="00741090">
      <w:pPr>
        <w:widowControl w:val="0"/>
        <w:tabs>
          <w:tab w:val="left" w:pos="220"/>
          <w:tab w:val="left" w:pos="720"/>
        </w:tabs>
        <w:autoSpaceDE w:val="0"/>
        <w:autoSpaceDN w:val="0"/>
        <w:adjustRightInd w:val="0"/>
        <w:spacing w:after="240"/>
        <w:jc w:val="both"/>
        <w:rPr>
          <w:rFonts w:ascii="Arial" w:eastAsia="Times New Roman" w:hAnsi="Arial" w:cs="Arial"/>
          <w:bCs/>
          <w:sz w:val="22"/>
          <w:szCs w:val="22"/>
          <w:lang w:val="fr-FR"/>
        </w:rPr>
      </w:pPr>
      <w:r w:rsidRPr="006917FB">
        <w:rPr>
          <w:rFonts w:ascii="Arial" w:eastAsia="Times New Roman" w:hAnsi="Arial" w:cs="Arial"/>
          <w:sz w:val="22"/>
          <w:szCs w:val="22"/>
          <w:lang w:val="fr-FR"/>
        </w:rPr>
        <w:t xml:space="preserve">La directive </w:t>
      </w:r>
      <w:r w:rsidRPr="006917FB">
        <w:rPr>
          <w:rFonts w:ascii="Arial" w:eastAsia="Times New Roman" w:hAnsi="Arial" w:cs="Arial"/>
          <w:sz w:val="22"/>
          <w:szCs w:val="22"/>
          <w:u w:val="single"/>
          <w:lang w:val="fr-FR"/>
        </w:rPr>
        <w:t>2015/121/UE</w:t>
      </w:r>
      <w:r w:rsidRPr="006917FB">
        <w:rPr>
          <w:rFonts w:ascii="Arial" w:eastAsia="Times New Roman" w:hAnsi="Arial" w:cs="Arial"/>
          <w:sz w:val="22"/>
          <w:szCs w:val="22"/>
          <w:lang w:val="fr-FR"/>
        </w:rPr>
        <w:t xml:space="preserve"> introduit pour sa part dans la directive 2011/96/UE une règle anti-abus commune minimale devant permettre d’éviter tout usage abusif de cette dernière. </w:t>
      </w:r>
    </w:p>
    <w:p w:rsidR="00002B5F" w:rsidRPr="006917FB" w:rsidRDefault="00002B5F" w:rsidP="00002B5F">
      <w:pPr>
        <w:widowControl w:val="0"/>
        <w:autoSpaceDE w:val="0"/>
        <w:autoSpaceDN w:val="0"/>
        <w:adjustRightInd w:val="0"/>
        <w:spacing w:after="240"/>
        <w:jc w:val="center"/>
        <w:rPr>
          <w:rFonts w:ascii="Arial" w:eastAsia="Times New Roman" w:hAnsi="Arial" w:cs="Arial"/>
          <w:i/>
          <w:sz w:val="22"/>
          <w:szCs w:val="22"/>
          <w:lang w:val="fr-FR"/>
        </w:rPr>
      </w:pPr>
      <w:r w:rsidRPr="006917FB">
        <w:rPr>
          <w:rFonts w:ascii="Arial" w:eastAsia="Times New Roman" w:hAnsi="Arial" w:cs="Arial"/>
          <w:i/>
          <w:sz w:val="22"/>
          <w:szCs w:val="22"/>
          <w:lang w:val="fr-FR"/>
        </w:rPr>
        <w:t xml:space="preserve">Prolongation de la </w:t>
      </w:r>
      <w:r w:rsidRPr="006917FB">
        <w:rPr>
          <w:rFonts w:ascii="Arial" w:eastAsia="Times New Roman" w:hAnsi="Arial" w:cs="Arial"/>
          <w:bCs/>
          <w:i/>
          <w:sz w:val="22"/>
          <w:szCs w:val="22"/>
          <w:lang w:val="fr-FR"/>
        </w:rPr>
        <w:t>bonification d’impôt pour embauchage de chômeurs</w:t>
      </w:r>
    </w:p>
    <w:p w:rsidR="00770A2B" w:rsidRPr="006917FB" w:rsidRDefault="00002B5F" w:rsidP="00002B5F">
      <w:pPr>
        <w:widowControl w:val="0"/>
        <w:autoSpaceDE w:val="0"/>
        <w:autoSpaceDN w:val="0"/>
        <w:adjustRightInd w:val="0"/>
        <w:spacing w:after="240"/>
        <w:jc w:val="both"/>
        <w:rPr>
          <w:rFonts w:ascii="Arial" w:eastAsia="Times New Roman" w:hAnsi="Arial" w:cs="Arial"/>
          <w:sz w:val="22"/>
          <w:szCs w:val="22"/>
          <w:lang w:val="fr-FR"/>
        </w:rPr>
      </w:pPr>
      <w:r w:rsidRPr="006917FB">
        <w:rPr>
          <w:rFonts w:ascii="Arial" w:eastAsia="Times New Roman" w:hAnsi="Arial" w:cs="Arial"/>
          <w:sz w:val="22"/>
          <w:szCs w:val="22"/>
          <w:lang w:val="fr-FR"/>
        </w:rPr>
        <w:t>Etant donné que la situation sur le marché de l’emploi est loin d’être satisfaisante, le projet de loi étend la bonification d’impôt sur le revenu en cas d’embauchage de chômeurs du 31 décembre 2014 jusqu’au 31 décembre 2016</w:t>
      </w:r>
      <w:r w:rsidR="00245A5A" w:rsidRPr="006917FB">
        <w:rPr>
          <w:rFonts w:ascii="Arial" w:eastAsia="Times New Roman" w:hAnsi="Arial" w:cs="Arial"/>
          <w:sz w:val="22"/>
          <w:szCs w:val="22"/>
          <w:lang w:val="fr-FR"/>
        </w:rPr>
        <w:t xml:space="preserve">. </w:t>
      </w:r>
    </w:p>
    <w:p w:rsidR="00002B5F" w:rsidRPr="006917FB" w:rsidRDefault="00002B5F" w:rsidP="00002B5F">
      <w:pPr>
        <w:widowControl w:val="0"/>
        <w:autoSpaceDE w:val="0"/>
        <w:autoSpaceDN w:val="0"/>
        <w:adjustRightInd w:val="0"/>
        <w:spacing w:after="240"/>
        <w:jc w:val="center"/>
        <w:rPr>
          <w:rFonts w:ascii="Arial" w:eastAsia="Times New Roman" w:hAnsi="Arial" w:cs="Arial"/>
          <w:i/>
          <w:sz w:val="22"/>
          <w:szCs w:val="22"/>
          <w:lang w:val="fr-FR"/>
        </w:rPr>
      </w:pPr>
      <w:r w:rsidRPr="006917FB">
        <w:rPr>
          <w:rFonts w:ascii="Arial" w:eastAsia="Times New Roman" w:hAnsi="Arial" w:cs="Arial"/>
          <w:i/>
          <w:sz w:val="22"/>
          <w:szCs w:val="22"/>
          <w:lang w:val="fr-FR"/>
        </w:rPr>
        <w:lastRenderedPageBreak/>
        <w:t>Elargissement du champ d’application de la bonification d’impôt pour investissement dans le chef du bailleur-donneur de crédit-bail</w:t>
      </w:r>
    </w:p>
    <w:p w:rsidR="00951E04" w:rsidRPr="006917FB" w:rsidRDefault="00F30F76" w:rsidP="00951E04">
      <w:pPr>
        <w:widowControl w:val="0"/>
        <w:autoSpaceDE w:val="0"/>
        <w:autoSpaceDN w:val="0"/>
        <w:adjustRightInd w:val="0"/>
        <w:spacing w:after="240"/>
        <w:jc w:val="both"/>
        <w:rPr>
          <w:rFonts w:ascii="Arial" w:eastAsia="Times New Roman" w:hAnsi="Arial" w:cs="Arial"/>
          <w:sz w:val="22"/>
          <w:szCs w:val="22"/>
          <w:lang w:val="fr-FR"/>
        </w:rPr>
      </w:pPr>
      <w:r w:rsidRPr="006917FB">
        <w:rPr>
          <w:rFonts w:ascii="Arial" w:eastAsia="Times New Roman" w:hAnsi="Arial" w:cs="Arial"/>
          <w:sz w:val="22"/>
          <w:szCs w:val="22"/>
          <w:lang w:val="fr-FR"/>
        </w:rPr>
        <w:t>A l’heure actuelle, le bailleur donneur de leasing est toujours exclu du bénéfice de l’article 152bis L.I.R. du chef de navires utilisés en trafic international.</w:t>
      </w:r>
      <w:r w:rsidR="00B031AE" w:rsidRPr="006917FB">
        <w:rPr>
          <w:rFonts w:ascii="Arial" w:eastAsia="Times New Roman" w:hAnsi="Arial" w:cs="Arial"/>
          <w:sz w:val="22"/>
          <w:szCs w:val="22"/>
          <w:lang w:val="fr-FR"/>
        </w:rPr>
        <w:t xml:space="preserve"> </w:t>
      </w:r>
      <w:r w:rsidRPr="006917FB">
        <w:rPr>
          <w:rFonts w:ascii="Arial" w:eastAsia="Times New Roman" w:hAnsi="Arial" w:cs="Arial"/>
          <w:sz w:val="22"/>
          <w:szCs w:val="22"/>
          <w:lang w:val="fr-FR"/>
        </w:rPr>
        <w:t xml:space="preserve">Comme le secteur maritime s’est fortement développé et contribue d’une façon non négligeable à </w:t>
      </w:r>
      <w:r w:rsidR="00573268" w:rsidRPr="006917FB">
        <w:rPr>
          <w:rFonts w:ascii="Arial" w:eastAsia="Times New Roman" w:hAnsi="Arial" w:cs="Arial"/>
          <w:sz w:val="22"/>
          <w:szCs w:val="22"/>
          <w:lang w:val="fr-FR"/>
        </w:rPr>
        <w:t xml:space="preserve">l’économie luxembourgeoise, il a été estimé </w:t>
      </w:r>
      <w:r w:rsidRPr="006917FB">
        <w:rPr>
          <w:rFonts w:ascii="Arial" w:eastAsia="Times New Roman" w:hAnsi="Arial" w:cs="Arial"/>
          <w:sz w:val="22"/>
          <w:szCs w:val="22"/>
          <w:lang w:val="fr-FR"/>
        </w:rPr>
        <w:t xml:space="preserve">que le bailleur donneur du chef de navires utilisés en trafic international devrait pouvoir bénéficier de la bonification d’impôt pour investissement si par ailleurs les conditions légales sont remplies. </w:t>
      </w:r>
    </w:p>
    <w:p w:rsidR="00002B5F" w:rsidRPr="006917FB" w:rsidRDefault="00002B5F" w:rsidP="00002B5F">
      <w:pPr>
        <w:widowControl w:val="0"/>
        <w:autoSpaceDE w:val="0"/>
        <w:autoSpaceDN w:val="0"/>
        <w:adjustRightInd w:val="0"/>
        <w:spacing w:after="240"/>
        <w:jc w:val="center"/>
        <w:rPr>
          <w:rFonts w:ascii="Arial" w:eastAsia="Times New Roman" w:hAnsi="Arial" w:cs="Arial"/>
          <w:i/>
          <w:sz w:val="22"/>
          <w:szCs w:val="22"/>
          <w:lang w:val="fr-FR"/>
        </w:rPr>
      </w:pPr>
      <w:r w:rsidRPr="006917FB">
        <w:rPr>
          <w:rFonts w:ascii="Arial" w:eastAsia="Times New Roman" w:hAnsi="Arial" w:cs="Arial"/>
          <w:i/>
          <w:sz w:val="22"/>
          <w:szCs w:val="22"/>
          <w:lang w:val="fr-FR"/>
        </w:rPr>
        <w:t>Amendement du régime d’intégration fiscal</w:t>
      </w:r>
      <w:r w:rsidR="00951E04" w:rsidRPr="006917FB">
        <w:rPr>
          <w:rFonts w:ascii="Arial" w:eastAsia="Times New Roman" w:hAnsi="Arial" w:cs="Arial"/>
          <w:i/>
          <w:sz w:val="22"/>
          <w:szCs w:val="22"/>
          <w:lang w:val="fr-FR"/>
        </w:rPr>
        <w:t>e</w:t>
      </w:r>
    </w:p>
    <w:p w:rsidR="00473505" w:rsidRPr="006917FB" w:rsidRDefault="00951E04" w:rsidP="00473505">
      <w:pPr>
        <w:widowControl w:val="0"/>
        <w:autoSpaceDE w:val="0"/>
        <w:autoSpaceDN w:val="0"/>
        <w:adjustRightInd w:val="0"/>
        <w:spacing w:after="240"/>
        <w:jc w:val="both"/>
        <w:rPr>
          <w:rFonts w:ascii="Arial" w:eastAsia="Times New Roman" w:hAnsi="Arial" w:cs="Arial"/>
          <w:sz w:val="22"/>
          <w:szCs w:val="22"/>
          <w:lang w:val="fr-FR"/>
        </w:rPr>
      </w:pPr>
      <w:r w:rsidRPr="006917FB">
        <w:rPr>
          <w:rFonts w:ascii="Arial" w:eastAsia="Times New Roman" w:hAnsi="Arial" w:cs="Arial"/>
          <w:sz w:val="22"/>
          <w:szCs w:val="22"/>
          <w:lang w:val="fr-FR"/>
        </w:rPr>
        <w:t>Alors que, jusqu’à présent, la constitution d’un groupe intégré étai</w:t>
      </w:r>
      <w:r w:rsidR="00DB589B" w:rsidRPr="006917FB">
        <w:rPr>
          <w:rFonts w:ascii="Arial" w:eastAsia="Times New Roman" w:hAnsi="Arial" w:cs="Arial"/>
          <w:sz w:val="22"/>
          <w:szCs w:val="22"/>
          <w:lang w:val="fr-FR"/>
        </w:rPr>
        <w:t>t seulement possible selon une « intégration verticale »</w:t>
      </w:r>
      <w:r w:rsidRPr="006917FB">
        <w:rPr>
          <w:rFonts w:ascii="Arial" w:eastAsia="Times New Roman" w:hAnsi="Arial" w:cs="Arial"/>
          <w:sz w:val="22"/>
          <w:szCs w:val="22"/>
          <w:lang w:val="fr-FR"/>
        </w:rPr>
        <w:t>, un groupe intégré peut égal</w:t>
      </w:r>
      <w:r w:rsidR="00DB589B" w:rsidRPr="006917FB">
        <w:rPr>
          <w:rFonts w:ascii="Arial" w:eastAsia="Times New Roman" w:hAnsi="Arial" w:cs="Arial"/>
          <w:sz w:val="22"/>
          <w:szCs w:val="22"/>
          <w:lang w:val="fr-FR"/>
        </w:rPr>
        <w:t>ement être constitué selon une « intégration horizontale »</w:t>
      </w:r>
      <w:r w:rsidRPr="006917FB">
        <w:rPr>
          <w:rFonts w:ascii="Arial" w:eastAsia="Times New Roman" w:hAnsi="Arial" w:cs="Arial"/>
          <w:sz w:val="22"/>
          <w:szCs w:val="22"/>
          <w:lang w:val="fr-FR"/>
        </w:rPr>
        <w:t xml:space="preserve">. </w:t>
      </w:r>
    </w:p>
    <w:p w:rsidR="00002B5F" w:rsidRPr="006917FB" w:rsidRDefault="00002B5F" w:rsidP="00002B5F">
      <w:pPr>
        <w:widowControl w:val="0"/>
        <w:autoSpaceDE w:val="0"/>
        <w:autoSpaceDN w:val="0"/>
        <w:adjustRightInd w:val="0"/>
        <w:spacing w:after="240"/>
        <w:jc w:val="center"/>
        <w:rPr>
          <w:rFonts w:ascii="Arial" w:eastAsia="Times New Roman" w:hAnsi="Arial" w:cs="Arial"/>
          <w:i/>
          <w:sz w:val="22"/>
          <w:szCs w:val="22"/>
          <w:lang w:val="fr-FR"/>
        </w:rPr>
      </w:pPr>
      <w:r w:rsidRPr="006917FB">
        <w:rPr>
          <w:rFonts w:ascii="Arial" w:eastAsia="Times New Roman" w:hAnsi="Arial" w:cs="Arial"/>
          <w:i/>
          <w:sz w:val="22"/>
          <w:szCs w:val="22"/>
          <w:lang w:val="fr-FR"/>
        </w:rPr>
        <w:t>Elargissement du champ d’application des personnes ayant droit à un sursis de paiement pour l’impôt dû à la sortie</w:t>
      </w:r>
    </w:p>
    <w:p w:rsidR="00600560" w:rsidRPr="006917FB" w:rsidRDefault="00DB589B" w:rsidP="00600560">
      <w:pPr>
        <w:widowControl w:val="0"/>
        <w:autoSpaceDE w:val="0"/>
        <w:autoSpaceDN w:val="0"/>
        <w:adjustRightInd w:val="0"/>
        <w:spacing w:after="240"/>
        <w:jc w:val="both"/>
        <w:rPr>
          <w:rFonts w:ascii="Arial" w:eastAsia="Times New Roman" w:hAnsi="Arial" w:cs="Arial"/>
          <w:sz w:val="22"/>
          <w:szCs w:val="22"/>
          <w:lang w:val="fr-FR"/>
        </w:rPr>
      </w:pPr>
      <w:r w:rsidRPr="006917FB">
        <w:rPr>
          <w:rFonts w:ascii="Arial" w:eastAsia="Times New Roman" w:hAnsi="Arial" w:cs="Arial"/>
          <w:sz w:val="22"/>
          <w:szCs w:val="22"/>
          <w:lang w:val="fr-FR"/>
        </w:rPr>
        <w:t xml:space="preserve">Le projet de loi élargit également le champ d’application des personnes ayant droit, dans des conditions déterminées, à un sursis de paiement pour l’impôt dû soit au moment du transfert d’une entreprise ou d’un établissement stable indigène vers un Etat tiers, soit à l’occasion du transfert de siège de biens de l’actif net investi vers un </w:t>
      </w:r>
      <w:r w:rsidR="0069368F" w:rsidRPr="006917FB">
        <w:rPr>
          <w:rFonts w:ascii="Arial" w:eastAsia="Times New Roman" w:hAnsi="Arial" w:cs="Arial"/>
          <w:sz w:val="22"/>
          <w:szCs w:val="22"/>
          <w:lang w:val="fr-FR"/>
        </w:rPr>
        <w:t xml:space="preserve">Etat tiers. </w:t>
      </w:r>
    </w:p>
    <w:p w:rsidR="00ED4B0F" w:rsidRPr="00EA1995" w:rsidRDefault="00ED4B0F">
      <w:pPr>
        <w:rPr>
          <w:color w:val="FF0000"/>
          <w:lang w:val="fr-LU"/>
        </w:rPr>
      </w:pPr>
    </w:p>
    <w:sectPr w:rsidR="00ED4B0F" w:rsidRPr="00EA1995"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158" w:rsidRDefault="00417158" w:rsidP="00B775CB">
      <w:r>
        <w:separator/>
      </w:r>
    </w:p>
  </w:endnote>
  <w:endnote w:type="continuationSeparator" w:id="0">
    <w:p w:rsidR="00417158" w:rsidRDefault="00417158"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01" w:rsidRDefault="00800CC4" w:rsidP="00215286">
    <w:pPr>
      <w:pStyle w:val="Pieddepage"/>
      <w:framePr w:wrap="around" w:vAnchor="text" w:hAnchor="margin" w:xAlign="right" w:y="1"/>
      <w:rPr>
        <w:rStyle w:val="Numrodepage"/>
      </w:rPr>
    </w:pPr>
    <w:r>
      <w:rPr>
        <w:rStyle w:val="Numrodepage"/>
      </w:rPr>
      <w:fldChar w:fldCharType="begin"/>
    </w:r>
    <w:r w:rsidR="00900E01">
      <w:rPr>
        <w:rStyle w:val="Numrodepage"/>
      </w:rPr>
      <w:instrText xml:space="preserve">PAGE  </w:instrText>
    </w:r>
    <w:r>
      <w:rPr>
        <w:rStyle w:val="Numrodepage"/>
      </w:rPr>
      <w:fldChar w:fldCharType="end"/>
    </w:r>
  </w:p>
  <w:p w:rsidR="00900E01" w:rsidRDefault="00800CC4" w:rsidP="003E0B79">
    <w:pPr>
      <w:pStyle w:val="Pieddepage"/>
      <w:framePr w:wrap="around" w:vAnchor="text" w:hAnchor="margin" w:xAlign="right" w:y="1"/>
      <w:ind w:right="360"/>
      <w:rPr>
        <w:rStyle w:val="Numrodepage"/>
      </w:rPr>
    </w:pPr>
    <w:r>
      <w:rPr>
        <w:rStyle w:val="Numrodepage"/>
      </w:rPr>
      <w:fldChar w:fldCharType="begin"/>
    </w:r>
    <w:r w:rsidR="00900E01">
      <w:rPr>
        <w:rStyle w:val="Numrodepage"/>
      </w:rPr>
      <w:instrText xml:space="preserve">PAGE  </w:instrText>
    </w:r>
    <w:r>
      <w:rPr>
        <w:rStyle w:val="Numrodepage"/>
      </w:rPr>
      <w:fldChar w:fldCharType="end"/>
    </w:r>
  </w:p>
  <w:p w:rsidR="00900E01" w:rsidRDefault="00900E01"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01" w:rsidRDefault="00800CC4" w:rsidP="00A2499A">
    <w:pPr>
      <w:pStyle w:val="Pieddepage"/>
      <w:framePr w:wrap="around" w:vAnchor="text" w:hAnchor="margin" w:xAlign="right" w:y="1"/>
      <w:rPr>
        <w:rStyle w:val="Numrodepage"/>
      </w:rPr>
    </w:pPr>
    <w:r>
      <w:rPr>
        <w:rStyle w:val="Numrodepage"/>
      </w:rPr>
      <w:fldChar w:fldCharType="begin"/>
    </w:r>
    <w:r w:rsidR="00900E01">
      <w:rPr>
        <w:rStyle w:val="Numrodepage"/>
      </w:rPr>
      <w:instrText xml:space="preserve">PAGE  </w:instrText>
    </w:r>
    <w:r>
      <w:rPr>
        <w:rStyle w:val="Numrodepage"/>
      </w:rPr>
      <w:fldChar w:fldCharType="separate"/>
    </w:r>
    <w:r w:rsidR="00366B23">
      <w:rPr>
        <w:rStyle w:val="Numrodepage"/>
        <w:noProof/>
      </w:rPr>
      <w:t>1</w:t>
    </w:r>
    <w:r>
      <w:rPr>
        <w:rStyle w:val="Numrodepage"/>
      </w:rPr>
      <w:fldChar w:fldCharType="end"/>
    </w:r>
  </w:p>
  <w:p w:rsidR="00900E01" w:rsidRDefault="00900E01" w:rsidP="00A2499A">
    <w:pPr>
      <w:pStyle w:val="Pieddepage"/>
      <w:ind w:right="360"/>
      <w:jc w:val="center"/>
    </w:pPr>
  </w:p>
  <w:p w:rsidR="00900E01" w:rsidRDefault="00900E0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158" w:rsidRDefault="00417158" w:rsidP="00B775CB">
      <w:r>
        <w:separator/>
      </w:r>
    </w:p>
  </w:footnote>
  <w:footnote w:type="continuationSeparator" w:id="0">
    <w:p w:rsidR="00417158" w:rsidRDefault="00417158"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01" w:rsidRDefault="00800CC4" w:rsidP="006B704B">
    <w:pPr>
      <w:pStyle w:val="En-tte"/>
      <w:framePr w:wrap="around" w:vAnchor="text" w:hAnchor="margin" w:xAlign="center" w:y="1"/>
      <w:rPr>
        <w:rStyle w:val="Numrodepage"/>
      </w:rPr>
    </w:pPr>
    <w:r>
      <w:rPr>
        <w:rStyle w:val="Numrodepage"/>
      </w:rPr>
      <w:fldChar w:fldCharType="begin"/>
    </w:r>
    <w:r w:rsidR="00900E01">
      <w:rPr>
        <w:rStyle w:val="Numrodepage"/>
      </w:rPr>
      <w:instrText xml:space="preserve">PAGE  </w:instrText>
    </w:r>
    <w:r>
      <w:rPr>
        <w:rStyle w:val="Numrodepage"/>
      </w:rPr>
      <w:fldChar w:fldCharType="separate"/>
    </w:r>
    <w:r w:rsidR="00900E01">
      <w:rPr>
        <w:rStyle w:val="Numrodepage"/>
        <w:noProof/>
      </w:rPr>
      <w:t>3</w:t>
    </w:r>
    <w:r>
      <w:rPr>
        <w:rStyle w:val="Numrodepage"/>
      </w:rPr>
      <w:fldChar w:fldCharType="end"/>
    </w:r>
  </w:p>
  <w:p w:rsidR="00900E01" w:rsidRDefault="00900E0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0"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5"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8"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F4BF8"/>
    <w:multiLevelType w:val="hybridMultilevel"/>
    <w:tmpl w:val="A0C88C54"/>
    <w:lvl w:ilvl="0" w:tplc="5BE24D2A">
      <w:start w:val="1"/>
      <w:numFmt w:val="decimal"/>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3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66AD0"/>
    <w:multiLevelType w:val="hybridMultilevel"/>
    <w:tmpl w:val="EFA892B2"/>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9"/>
  </w:num>
  <w:num w:numId="4">
    <w:abstractNumId w:val="27"/>
  </w:num>
  <w:num w:numId="5">
    <w:abstractNumId w:val="5"/>
  </w:num>
  <w:num w:numId="6">
    <w:abstractNumId w:val="24"/>
  </w:num>
  <w:num w:numId="7">
    <w:abstractNumId w:val="1"/>
  </w:num>
  <w:num w:numId="8">
    <w:abstractNumId w:val="2"/>
  </w:num>
  <w:num w:numId="9">
    <w:abstractNumId w:val="0"/>
  </w:num>
  <w:num w:numId="10">
    <w:abstractNumId w:val="3"/>
  </w:num>
  <w:num w:numId="11">
    <w:abstractNumId w:val="32"/>
  </w:num>
  <w:num w:numId="12">
    <w:abstractNumId w:val="9"/>
  </w:num>
  <w:num w:numId="13">
    <w:abstractNumId w:val="6"/>
  </w:num>
  <w:num w:numId="14">
    <w:abstractNumId w:val="22"/>
  </w:num>
  <w:num w:numId="15">
    <w:abstractNumId w:val="15"/>
  </w:num>
  <w:num w:numId="16">
    <w:abstractNumId w:val="16"/>
  </w:num>
  <w:num w:numId="17">
    <w:abstractNumId w:val="7"/>
  </w:num>
  <w:num w:numId="18">
    <w:abstractNumId w:val="4"/>
  </w:num>
  <w:num w:numId="19">
    <w:abstractNumId w:val="23"/>
  </w:num>
  <w:num w:numId="20">
    <w:abstractNumId w:val="14"/>
  </w:num>
  <w:num w:numId="21">
    <w:abstractNumId w:val="25"/>
  </w:num>
  <w:num w:numId="22">
    <w:abstractNumId w:val="21"/>
  </w:num>
  <w:num w:numId="23">
    <w:abstractNumId w:val="19"/>
  </w:num>
  <w:num w:numId="24">
    <w:abstractNumId w:val="18"/>
  </w:num>
  <w:num w:numId="25">
    <w:abstractNumId w:val="26"/>
  </w:num>
  <w:num w:numId="26">
    <w:abstractNumId w:val="28"/>
  </w:num>
  <w:num w:numId="27">
    <w:abstractNumId w:val="13"/>
  </w:num>
  <w:num w:numId="28">
    <w:abstractNumId w:val="8"/>
  </w:num>
  <w:num w:numId="29">
    <w:abstractNumId w:val="11"/>
  </w:num>
  <w:num w:numId="30">
    <w:abstractNumId w:val="12"/>
  </w:num>
  <w:num w:numId="31">
    <w:abstractNumId w:val="10"/>
  </w:num>
  <w:num w:numId="32">
    <w:abstractNumId w:val="20"/>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2B5F"/>
    <w:rsid w:val="00002E5F"/>
    <w:rsid w:val="00003C0B"/>
    <w:rsid w:val="000277C7"/>
    <w:rsid w:val="00034A67"/>
    <w:rsid w:val="00057336"/>
    <w:rsid w:val="00062E32"/>
    <w:rsid w:val="00063274"/>
    <w:rsid w:val="00086E6E"/>
    <w:rsid w:val="000A6058"/>
    <w:rsid w:val="000A7329"/>
    <w:rsid w:val="000C1F1D"/>
    <w:rsid w:val="000D290D"/>
    <w:rsid w:val="000D2D4E"/>
    <w:rsid w:val="000D71CF"/>
    <w:rsid w:val="0010469C"/>
    <w:rsid w:val="001139A0"/>
    <w:rsid w:val="001148DF"/>
    <w:rsid w:val="00115785"/>
    <w:rsid w:val="00124842"/>
    <w:rsid w:val="001443ED"/>
    <w:rsid w:val="0015450F"/>
    <w:rsid w:val="001554F2"/>
    <w:rsid w:val="00176552"/>
    <w:rsid w:val="001A4DC2"/>
    <w:rsid w:val="001C0DD6"/>
    <w:rsid w:val="001C79C6"/>
    <w:rsid w:val="001D65D7"/>
    <w:rsid w:val="001E733E"/>
    <w:rsid w:val="001F6CD1"/>
    <w:rsid w:val="00215286"/>
    <w:rsid w:val="00216506"/>
    <w:rsid w:val="002220E0"/>
    <w:rsid w:val="00223907"/>
    <w:rsid w:val="002265B6"/>
    <w:rsid w:val="00233085"/>
    <w:rsid w:val="00233914"/>
    <w:rsid w:val="00233FCE"/>
    <w:rsid w:val="00236B9F"/>
    <w:rsid w:val="00245527"/>
    <w:rsid w:val="00245A5A"/>
    <w:rsid w:val="0025322C"/>
    <w:rsid w:val="002609D3"/>
    <w:rsid w:val="002703A5"/>
    <w:rsid w:val="00290A14"/>
    <w:rsid w:val="0029270F"/>
    <w:rsid w:val="00294232"/>
    <w:rsid w:val="002A06CD"/>
    <w:rsid w:val="002C1855"/>
    <w:rsid w:val="002D0764"/>
    <w:rsid w:val="002E116B"/>
    <w:rsid w:val="002E6CFC"/>
    <w:rsid w:val="00302C5C"/>
    <w:rsid w:val="00327B5C"/>
    <w:rsid w:val="00332AA2"/>
    <w:rsid w:val="003422F7"/>
    <w:rsid w:val="00361390"/>
    <w:rsid w:val="00366B23"/>
    <w:rsid w:val="003844D5"/>
    <w:rsid w:val="00396ECE"/>
    <w:rsid w:val="003A0C16"/>
    <w:rsid w:val="003B1165"/>
    <w:rsid w:val="003B39A4"/>
    <w:rsid w:val="003B677B"/>
    <w:rsid w:val="003D0A59"/>
    <w:rsid w:val="003D1241"/>
    <w:rsid w:val="003E0B79"/>
    <w:rsid w:val="003F6A9F"/>
    <w:rsid w:val="004030B0"/>
    <w:rsid w:val="00405F0D"/>
    <w:rsid w:val="004117D1"/>
    <w:rsid w:val="00417158"/>
    <w:rsid w:val="004229B6"/>
    <w:rsid w:val="0043242A"/>
    <w:rsid w:val="004423E9"/>
    <w:rsid w:val="00455006"/>
    <w:rsid w:val="00462C0F"/>
    <w:rsid w:val="00464086"/>
    <w:rsid w:val="004727A6"/>
    <w:rsid w:val="00473505"/>
    <w:rsid w:val="0049509D"/>
    <w:rsid w:val="004A4857"/>
    <w:rsid w:val="004B096F"/>
    <w:rsid w:val="004C1D08"/>
    <w:rsid w:val="004C338A"/>
    <w:rsid w:val="004C66BD"/>
    <w:rsid w:val="004D5D39"/>
    <w:rsid w:val="004E1CC4"/>
    <w:rsid w:val="004F10F8"/>
    <w:rsid w:val="00523AD5"/>
    <w:rsid w:val="00530F2C"/>
    <w:rsid w:val="00540F2C"/>
    <w:rsid w:val="00553D8C"/>
    <w:rsid w:val="00555E17"/>
    <w:rsid w:val="00556E1C"/>
    <w:rsid w:val="00564BB3"/>
    <w:rsid w:val="005701F7"/>
    <w:rsid w:val="00573268"/>
    <w:rsid w:val="00585186"/>
    <w:rsid w:val="00587E99"/>
    <w:rsid w:val="005A5445"/>
    <w:rsid w:val="005B2729"/>
    <w:rsid w:val="005B49F1"/>
    <w:rsid w:val="005C2DAE"/>
    <w:rsid w:val="005D789F"/>
    <w:rsid w:val="005E3ABE"/>
    <w:rsid w:val="00600560"/>
    <w:rsid w:val="00604BCC"/>
    <w:rsid w:val="00637738"/>
    <w:rsid w:val="006447CB"/>
    <w:rsid w:val="00654234"/>
    <w:rsid w:val="00677471"/>
    <w:rsid w:val="0068698B"/>
    <w:rsid w:val="006917FB"/>
    <w:rsid w:val="0069368F"/>
    <w:rsid w:val="006A06E8"/>
    <w:rsid w:val="006A53B1"/>
    <w:rsid w:val="006B29B8"/>
    <w:rsid w:val="006B704B"/>
    <w:rsid w:val="006C1F4E"/>
    <w:rsid w:val="006C3F9B"/>
    <w:rsid w:val="006E1070"/>
    <w:rsid w:val="006E1E59"/>
    <w:rsid w:val="006E24A3"/>
    <w:rsid w:val="006E7555"/>
    <w:rsid w:val="006F5B8B"/>
    <w:rsid w:val="006F7712"/>
    <w:rsid w:val="00717F1F"/>
    <w:rsid w:val="0072264C"/>
    <w:rsid w:val="00741090"/>
    <w:rsid w:val="0074419E"/>
    <w:rsid w:val="00770A2B"/>
    <w:rsid w:val="007910CC"/>
    <w:rsid w:val="00791C1F"/>
    <w:rsid w:val="007A26B6"/>
    <w:rsid w:val="007B36CA"/>
    <w:rsid w:val="007D107A"/>
    <w:rsid w:val="007F47F9"/>
    <w:rsid w:val="007F61CF"/>
    <w:rsid w:val="00800CC4"/>
    <w:rsid w:val="0080517E"/>
    <w:rsid w:val="008077B1"/>
    <w:rsid w:val="0081472E"/>
    <w:rsid w:val="00815CF6"/>
    <w:rsid w:val="008305FA"/>
    <w:rsid w:val="008359BE"/>
    <w:rsid w:val="008371A1"/>
    <w:rsid w:val="0084001D"/>
    <w:rsid w:val="0085465A"/>
    <w:rsid w:val="00861B34"/>
    <w:rsid w:val="0086630D"/>
    <w:rsid w:val="00872EB3"/>
    <w:rsid w:val="00885178"/>
    <w:rsid w:val="00896AC2"/>
    <w:rsid w:val="008A6255"/>
    <w:rsid w:val="008A785F"/>
    <w:rsid w:val="008B4A74"/>
    <w:rsid w:val="008C1526"/>
    <w:rsid w:val="008C666F"/>
    <w:rsid w:val="008E3BB9"/>
    <w:rsid w:val="008F7F4A"/>
    <w:rsid w:val="00900E01"/>
    <w:rsid w:val="00907C68"/>
    <w:rsid w:val="009144F2"/>
    <w:rsid w:val="00927DEB"/>
    <w:rsid w:val="00951E04"/>
    <w:rsid w:val="0096357A"/>
    <w:rsid w:val="00981402"/>
    <w:rsid w:val="009D0657"/>
    <w:rsid w:val="009E632A"/>
    <w:rsid w:val="009E71DC"/>
    <w:rsid w:val="009E7DC3"/>
    <w:rsid w:val="009F07BB"/>
    <w:rsid w:val="00A01246"/>
    <w:rsid w:val="00A165A4"/>
    <w:rsid w:val="00A212E8"/>
    <w:rsid w:val="00A22DF9"/>
    <w:rsid w:val="00A2499A"/>
    <w:rsid w:val="00A25983"/>
    <w:rsid w:val="00A32C84"/>
    <w:rsid w:val="00A44BC9"/>
    <w:rsid w:val="00A670BE"/>
    <w:rsid w:val="00A71878"/>
    <w:rsid w:val="00A8057C"/>
    <w:rsid w:val="00A968FF"/>
    <w:rsid w:val="00AD3543"/>
    <w:rsid w:val="00B031AE"/>
    <w:rsid w:val="00B04FD3"/>
    <w:rsid w:val="00B07478"/>
    <w:rsid w:val="00B14862"/>
    <w:rsid w:val="00B17B44"/>
    <w:rsid w:val="00B30EA5"/>
    <w:rsid w:val="00B477B7"/>
    <w:rsid w:val="00B526D3"/>
    <w:rsid w:val="00B775CB"/>
    <w:rsid w:val="00B83C77"/>
    <w:rsid w:val="00BA56CF"/>
    <w:rsid w:val="00BB3474"/>
    <w:rsid w:val="00BD11A8"/>
    <w:rsid w:val="00BF39B7"/>
    <w:rsid w:val="00C02E22"/>
    <w:rsid w:val="00C14927"/>
    <w:rsid w:val="00C25F79"/>
    <w:rsid w:val="00C34BD6"/>
    <w:rsid w:val="00C37740"/>
    <w:rsid w:val="00C41E31"/>
    <w:rsid w:val="00C46894"/>
    <w:rsid w:val="00C506AC"/>
    <w:rsid w:val="00CD01B4"/>
    <w:rsid w:val="00CD665F"/>
    <w:rsid w:val="00CD6AA6"/>
    <w:rsid w:val="00CF02CA"/>
    <w:rsid w:val="00D0770B"/>
    <w:rsid w:val="00D116D6"/>
    <w:rsid w:val="00D16CED"/>
    <w:rsid w:val="00D300A3"/>
    <w:rsid w:val="00D416D3"/>
    <w:rsid w:val="00D52CD0"/>
    <w:rsid w:val="00D66359"/>
    <w:rsid w:val="00D677E2"/>
    <w:rsid w:val="00D70946"/>
    <w:rsid w:val="00D7596E"/>
    <w:rsid w:val="00D91AF4"/>
    <w:rsid w:val="00DA0E2A"/>
    <w:rsid w:val="00DA12C8"/>
    <w:rsid w:val="00DB483B"/>
    <w:rsid w:val="00DB589B"/>
    <w:rsid w:val="00DB7FE7"/>
    <w:rsid w:val="00DC50AA"/>
    <w:rsid w:val="00DD0889"/>
    <w:rsid w:val="00DD0F13"/>
    <w:rsid w:val="00DE42C6"/>
    <w:rsid w:val="00DF2920"/>
    <w:rsid w:val="00E10E4C"/>
    <w:rsid w:val="00E61A63"/>
    <w:rsid w:val="00E96EE4"/>
    <w:rsid w:val="00EA1995"/>
    <w:rsid w:val="00EA3A77"/>
    <w:rsid w:val="00EC19F3"/>
    <w:rsid w:val="00EC2142"/>
    <w:rsid w:val="00ED4B0F"/>
    <w:rsid w:val="00EE0A4E"/>
    <w:rsid w:val="00F1033E"/>
    <w:rsid w:val="00F17704"/>
    <w:rsid w:val="00F30F76"/>
    <w:rsid w:val="00F349D0"/>
    <w:rsid w:val="00F3604B"/>
    <w:rsid w:val="00F521D1"/>
    <w:rsid w:val="00F61920"/>
    <w:rsid w:val="00F64620"/>
    <w:rsid w:val="00F902F7"/>
    <w:rsid w:val="00FB177C"/>
    <w:rsid w:val="00FB7533"/>
    <w:rsid w:val="00FE43BF"/>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2FA8F109-74E5-48D8-B8CB-CF623639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482553223">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D904B7F-D48C-4D5C-ABFD-5B1ED5F48B96}"/>
</file>

<file path=customXml/itemProps2.xml><?xml version="1.0" encoding="utf-8"?>
<ds:datastoreItem xmlns:ds="http://schemas.openxmlformats.org/officeDocument/2006/customXml" ds:itemID="{CDA7390B-80C0-4421-8776-CE75BAD9E268}"/>
</file>

<file path=customXml/itemProps3.xml><?xml version="1.0" encoding="utf-8"?>
<ds:datastoreItem xmlns:ds="http://schemas.openxmlformats.org/officeDocument/2006/customXml" ds:itemID="{4F341C11-ADF9-4FD9-BA31-6AD7A25BC6C9}"/>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3617</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