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91" w:rsidRDefault="00192291" w:rsidP="0019229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u w:val="single"/>
          <w:lang w:val="fr-LU" w:eastAsia="fr-LU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u w:val="single"/>
          <w:lang w:val="fr-LU" w:eastAsia="fr-LU"/>
        </w:rPr>
        <w:t>6838</w:t>
      </w:r>
    </w:p>
    <w:p w:rsidR="00192291" w:rsidRDefault="00192291" w:rsidP="0019229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u w:val="single"/>
          <w:lang w:val="fr-LU" w:eastAsia="fr-LU"/>
        </w:rPr>
      </w:pPr>
    </w:p>
    <w:p w:rsidR="00192291" w:rsidRDefault="00192291" w:rsidP="0019229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u w:val="single"/>
          <w:lang w:val="fr-LU" w:eastAsia="fr-LU"/>
        </w:rPr>
      </w:pPr>
    </w:p>
    <w:p w:rsidR="00192291" w:rsidRDefault="00192291" w:rsidP="0019229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u w:val="single"/>
          <w:lang w:val="fr-LU" w:eastAsia="fr-LU"/>
        </w:rPr>
      </w:pPr>
    </w:p>
    <w:p w:rsidR="00192291" w:rsidRPr="00C9208E" w:rsidRDefault="00192291" w:rsidP="0019229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u w:val="single"/>
          <w:lang w:val="fr-LU" w:eastAsia="fr-LU"/>
        </w:rPr>
      </w:pPr>
      <w:r w:rsidRPr="00C9208E">
        <w:rPr>
          <w:rFonts w:ascii="Arial" w:hAnsi="Arial" w:cs="Arial"/>
          <w:sz w:val="22"/>
          <w:szCs w:val="22"/>
          <w:u w:val="single"/>
          <w:lang w:val="fr-LU" w:eastAsia="fr-LU"/>
        </w:rPr>
        <w:t>Le compte général de l’Etat de l’exercice 2014</w:t>
      </w:r>
    </w:p>
    <w:p w:rsidR="00192291" w:rsidRDefault="00192291" w:rsidP="00192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fr-LU"/>
        </w:rPr>
      </w:pPr>
    </w:p>
    <w:p w:rsidR="00192291" w:rsidRPr="00E24DBE" w:rsidRDefault="00192291" w:rsidP="00192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fr-LU" w:eastAsia="fr-LU"/>
        </w:rPr>
      </w:pP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Le compte général de l'exercice 2014 s'est </w:t>
      </w:r>
      <w:r w:rsidRPr="00FF474F">
        <w:rPr>
          <w:rFonts w:ascii="Arial" w:hAnsi="Arial" w:cs="Arial"/>
          <w:b/>
          <w:sz w:val="22"/>
          <w:szCs w:val="22"/>
          <w:lang w:val="fr-LU" w:eastAsia="fr-LU"/>
        </w:rPr>
        <w:t>clôturé avec un déficit de 142,35 millions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d'</w:t>
      </w:r>
      <w:r>
        <w:rPr>
          <w:rFonts w:ascii="Arial" w:hAnsi="Arial" w:cs="Arial"/>
          <w:sz w:val="22"/>
          <w:szCs w:val="22"/>
          <w:lang w:val="fr-LU" w:eastAsia="fr-LU"/>
        </w:rPr>
        <w:t>euros,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alors que le budget voté renseignait un déficit de 172,1 millions d'</w:t>
      </w:r>
      <w:r>
        <w:rPr>
          <w:rFonts w:ascii="Arial" w:hAnsi="Arial" w:cs="Arial"/>
          <w:sz w:val="22"/>
          <w:szCs w:val="22"/>
          <w:lang w:val="fr-LU" w:eastAsia="fr-LU"/>
        </w:rPr>
        <w:t>euros</w:t>
      </w:r>
      <w:r w:rsidRPr="00C9208E">
        <w:rPr>
          <w:rFonts w:ascii="Arial" w:hAnsi="Arial" w:cs="Arial"/>
          <w:sz w:val="22"/>
          <w:szCs w:val="22"/>
          <w:lang w:val="fr-LU" w:eastAsia="fr-LU"/>
        </w:rPr>
        <w:t>. Cette différence s'explique notamment par une hausse de 82,84 millions d'</w:t>
      </w:r>
      <w:r>
        <w:rPr>
          <w:rFonts w:ascii="Arial" w:hAnsi="Arial" w:cs="Arial"/>
          <w:sz w:val="22"/>
          <w:szCs w:val="22"/>
          <w:lang w:val="fr-LU" w:eastAsia="fr-LU"/>
        </w:rPr>
        <w:t>euros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des recettes sur l'année 2014.</w:t>
      </w:r>
    </w:p>
    <w:tbl>
      <w:tblPr>
        <w:tblW w:w="7984" w:type="dxa"/>
        <w:tblInd w:w="1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5627"/>
        <w:gridCol w:w="1809"/>
      </w:tblGrid>
      <w:tr w:rsidR="00192291" w:rsidRPr="00BC313D" w:rsidTr="00B827DD">
        <w:trPr>
          <w:cantSplit/>
          <w:trHeight w:val="318"/>
        </w:trPr>
        <w:tc>
          <w:tcPr>
            <w:tcW w:w="798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keepNext/>
              <w:spacing w:before="120" w:after="120"/>
              <w:ind w:right="34"/>
              <w:jc w:val="center"/>
            </w:pPr>
            <w:r w:rsidRPr="00640C7E">
              <w:rPr>
                <w:rFonts w:ascii="Garamond" w:hAnsi="Garamond"/>
                <w:b/>
                <w:bCs/>
              </w:rPr>
              <w:t>A. Recettes et dépenses courantes et en capital</w:t>
            </w:r>
          </w:p>
        </w:tc>
      </w:tr>
      <w:tr w:rsidR="00192291" w:rsidRPr="00640C7E" w:rsidTr="00B827DD">
        <w:trPr>
          <w:cantSplit/>
        </w:trPr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right"/>
              <w:rPr>
                <w:rFonts w:ascii="Garamond" w:hAnsi="Garamond"/>
              </w:rPr>
            </w:pPr>
          </w:p>
        </w:tc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both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Report du solde des recettes et dépenses courantes et en capital de l’année précédente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tabs>
                <w:tab w:val="decimal" w:pos="1388"/>
              </w:tabs>
              <w:spacing w:before="60" w:after="60"/>
              <w:ind w:right="95"/>
              <w:jc w:val="right"/>
              <w:rPr>
                <w:rFonts w:ascii="Garamond" w:hAnsi="Garamond" w:cs="Calibri"/>
              </w:rPr>
            </w:pPr>
            <w:r w:rsidRPr="00640C7E">
              <w:rPr>
                <w:rFonts w:ascii="Garamond" w:hAnsi="Garamond"/>
              </w:rPr>
              <w:t>-530.198.494,41</w:t>
            </w:r>
          </w:p>
        </w:tc>
      </w:tr>
      <w:tr w:rsidR="00192291" w:rsidRPr="00640C7E" w:rsidTr="00B827DD">
        <w:trPr>
          <w:cantSplit/>
        </w:trPr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right"/>
            </w:pPr>
            <w:r w:rsidRPr="00640C7E">
              <w:rPr>
                <w:rFonts w:ascii="Garamond" w:hAnsi="Garamond"/>
              </w:rPr>
              <w:t>I.</w:t>
            </w:r>
          </w:p>
        </w:tc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both"/>
            </w:pPr>
            <w:r w:rsidRPr="00640C7E">
              <w:rPr>
                <w:rFonts w:ascii="Garamond" w:hAnsi="Garamond"/>
              </w:rPr>
              <w:t xml:space="preserve">Recettes 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tabs>
                <w:tab w:val="decimal" w:pos="1388"/>
              </w:tabs>
              <w:spacing w:before="60" w:after="60"/>
              <w:ind w:right="95"/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 w:cs="Calibri"/>
              </w:rPr>
              <w:t>12.221.500.126,34</w:t>
            </w:r>
          </w:p>
        </w:tc>
      </w:tr>
      <w:tr w:rsidR="00192291" w:rsidRPr="00640C7E" w:rsidTr="00B827DD">
        <w:trPr>
          <w:cantSplit/>
        </w:trPr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right"/>
            </w:pPr>
            <w:r w:rsidRPr="00640C7E">
              <w:rPr>
                <w:rFonts w:ascii="Garamond" w:hAnsi="Garamond"/>
              </w:rPr>
              <w:t>II.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both"/>
            </w:pPr>
            <w:r w:rsidRPr="00640C7E">
              <w:rPr>
                <w:rFonts w:ascii="Garamond" w:hAnsi="Garamond"/>
              </w:rPr>
              <w:t xml:space="preserve">Dépenses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tabs>
                <w:tab w:val="decimal" w:pos="1388"/>
              </w:tabs>
              <w:spacing w:before="60" w:after="60"/>
              <w:ind w:right="95"/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12.363.852.059,68</w:t>
            </w:r>
          </w:p>
        </w:tc>
      </w:tr>
      <w:tr w:rsidR="00192291" w:rsidRPr="00640C7E" w:rsidTr="00B827DD">
        <w:trPr>
          <w:cantSplit/>
        </w:trPr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right"/>
            </w:pPr>
            <w:r w:rsidRPr="00640C7E">
              <w:rPr>
                <w:rFonts w:ascii="Garamond" w:hAnsi="Garamond"/>
              </w:rPr>
              <w:t>III.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both"/>
            </w:pPr>
            <w:r w:rsidRPr="00640C7E">
              <w:rPr>
                <w:rFonts w:ascii="Garamond" w:hAnsi="Garamond"/>
              </w:rPr>
              <w:t>Excédent de dépenses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tabs>
                <w:tab w:val="decimal" w:pos="1388"/>
              </w:tabs>
              <w:spacing w:before="60" w:after="60"/>
              <w:ind w:right="95"/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142.351.933,34</w:t>
            </w:r>
          </w:p>
        </w:tc>
      </w:tr>
      <w:tr w:rsidR="00192291" w:rsidRPr="00640C7E" w:rsidTr="00B827DD">
        <w:trPr>
          <w:cantSplit/>
        </w:trPr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right"/>
            </w:pPr>
            <w:r w:rsidRPr="00640C7E">
              <w:rPr>
                <w:rFonts w:ascii="Garamond" w:hAnsi="Garamond"/>
              </w:rPr>
              <w:t>IV.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both"/>
            </w:pPr>
            <w:r w:rsidRPr="00640C7E">
              <w:rPr>
                <w:rFonts w:ascii="Garamond" w:hAnsi="Garamond"/>
              </w:rPr>
              <w:t xml:space="preserve">Report du solde des recettes et dépenses courantes et en capital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tabs>
                <w:tab w:val="decimal" w:pos="1388"/>
              </w:tabs>
              <w:spacing w:before="60" w:after="60"/>
              <w:ind w:right="95"/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-672.550.427,75</w:t>
            </w:r>
          </w:p>
        </w:tc>
      </w:tr>
    </w:tbl>
    <w:p w:rsidR="00192291" w:rsidRPr="00C9208E" w:rsidRDefault="00192291" w:rsidP="001922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92291" w:rsidRPr="00C9208E" w:rsidRDefault="00192291" w:rsidP="001922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9208E">
        <w:rPr>
          <w:rFonts w:ascii="Arial" w:hAnsi="Arial" w:cs="Arial"/>
          <w:sz w:val="22"/>
          <w:szCs w:val="22"/>
        </w:rPr>
        <w:t xml:space="preserve">L’excédent de </w:t>
      </w:r>
      <w:r w:rsidRPr="00FF474F">
        <w:rPr>
          <w:rFonts w:ascii="Arial" w:hAnsi="Arial" w:cs="Arial"/>
          <w:b/>
          <w:sz w:val="22"/>
          <w:szCs w:val="22"/>
        </w:rPr>
        <w:t>recettes pour ordre</w:t>
      </w:r>
      <w:r w:rsidRPr="00C9208E">
        <w:rPr>
          <w:rFonts w:ascii="Arial" w:hAnsi="Arial" w:cs="Arial"/>
          <w:sz w:val="22"/>
          <w:szCs w:val="22"/>
        </w:rPr>
        <w:t xml:space="preserve"> est porté au crédit du compte «report du solde des recettes et dépenses pour ordre» dont le sol</w:t>
      </w:r>
      <w:r>
        <w:rPr>
          <w:rFonts w:ascii="Arial" w:hAnsi="Arial" w:cs="Arial"/>
          <w:sz w:val="22"/>
          <w:szCs w:val="22"/>
        </w:rPr>
        <w:t>de positif s'établit alors à 18.507.</w:t>
      </w:r>
      <w:r w:rsidRPr="00C9208E">
        <w:rPr>
          <w:rFonts w:ascii="Arial" w:hAnsi="Arial" w:cs="Arial"/>
          <w:sz w:val="22"/>
          <w:szCs w:val="22"/>
        </w:rPr>
        <w:t xml:space="preserve">534,75 </w:t>
      </w:r>
      <w:r>
        <w:rPr>
          <w:rFonts w:ascii="Arial" w:hAnsi="Arial" w:cs="Arial"/>
          <w:sz w:val="22"/>
          <w:szCs w:val="22"/>
        </w:rPr>
        <w:t>euros</w:t>
      </w:r>
      <w:r w:rsidRPr="00C9208E">
        <w:rPr>
          <w:rFonts w:ascii="Arial" w:hAnsi="Arial" w:cs="Arial"/>
          <w:sz w:val="22"/>
          <w:szCs w:val="22"/>
        </w:rPr>
        <w:t>.</w:t>
      </w:r>
    </w:p>
    <w:p w:rsidR="00192291" w:rsidRDefault="00192291" w:rsidP="001922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7938" w:type="dxa"/>
        <w:tblInd w:w="1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8"/>
        <w:gridCol w:w="1763"/>
        <w:gridCol w:w="567"/>
      </w:tblGrid>
      <w:tr w:rsidR="00192291" w:rsidRPr="00640C7E" w:rsidTr="00B827DD">
        <w:trPr>
          <w:cantSplit/>
        </w:trPr>
        <w:tc>
          <w:tcPr>
            <w:tcW w:w="7938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120" w:after="120"/>
              <w:ind w:right="34"/>
              <w:jc w:val="center"/>
            </w:pPr>
            <w:r w:rsidRPr="00640C7E">
              <w:rPr>
                <w:rFonts w:ascii="Garamond" w:hAnsi="Garamond"/>
                <w:b/>
                <w:bCs/>
              </w:rPr>
              <w:t>B. Recettes et dépenses pour ordre</w:t>
            </w:r>
          </w:p>
        </w:tc>
      </w:tr>
      <w:tr w:rsidR="00192291" w:rsidRPr="00640C7E" w:rsidTr="00B827DD">
        <w:trPr>
          <w:gridAfter w:val="1"/>
          <w:wAfter w:w="567" w:type="dxa"/>
          <w:cantSplit/>
        </w:trPr>
        <w:tc>
          <w:tcPr>
            <w:tcW w:w="5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ind w:right="-108"/>
              <w:jc w:val="both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Report du solde des recettes et dépenses pour ordre de l’année</w:t>
            </w:r>
            <w:r>
              <w:rPr>
                <w:rFonts w:ascii="Garamond" w:hAnsi="Garamond"/>
              </w:rPr>
              <w:t xml:space="preserve"> </w:t>
            </w:r>
            <w:r w:rsidRPr="00640C7E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p</w:t>
            </w:r>
            <w:r w:rsidRPr="00640C7E">
              <w:rPr>
                <w:rFonts w:ascii="Garamond" w:hAnsi="Garamond"/>
              </w:rPr>
              <w:t>récédente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tabs>
                <w:tab w:val="decimal" w:pos="1393"/>
              </w:tabs>
              <w:spacing w:before="60" w:after="60"/>
              <w:ind w:right="95"/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2.821.818,21</w:t>
            </w:r>
          </w:p>
        </w:tc>
      </w:tr>
      <w:tr w:rsidR="00192291" w:rsidRPr="00640C7E" w:rsidTr="00B827DD">
        <w:trPr>
          <w:gridAfter w:val="1"/>
          <w:wAfter w:w="567" w:type="dxa"/>
          <w:cantSplit/>
        </w:trPr>
        <w:tc>
          <w:tcPr>
            <w:tcW w:w="5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ind w:right="-108"/>
              <w:jc w:val="both"/>
            </w:pPr>
            <w:r w:rsidRPr="00640C7E">
              <w:rPr>
                <w:rFonts w:ascii="Garamond" w:hAnsi="Garamond"/>
              </w:rPr>
              <w:t>Recettes pour ordre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tabs>
                <w:tab w:val="decimal" w:pos="1393"/>
              </w:tabs>
              <w:spacing w:before="60" w:after="60"/>
              <w:ind w:right="95"/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5.878.223.259,92</w:t>
            </w:r>
          </w:p>
        </w:tc>
      </w:tr>
      <w:tr w:rsidR="00192291" w:rsidRPr="00640C7E" w:rsidTr="00B827DD">
        <w:trPr>
          <w:gridAfter w:val="1"/>
          <w:wAfter w:w="567" w:type="dxa"/>
          <w:cantSplit/>
        </w:trPr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ind w:right="-108"/>
              <w:jc w:val="both"/>
            </w:pPr>
            <w:r w:rsidRPr="00640C7E">
              <w:rPr>
                <w:rFonts w:ascii="Garamond" w:hAnsi="Garamond"/>
              </w:rPr>
              <w:t>Dépenses pour ordre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tabs>
                <w:tab w:val="decimal" w:pos="1393"/>
              </w:tabs>
              <w:spacing w:before="60" w:after="60"/>
              <w:ind w:right="95"/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5.862.537.543,38</w:t>
            </w:r>
          </w:p>
        </w:tc>
      </w:tr>
      <w:tr w:rsidR="00192291" w:rsidRPr="00640C7E" w:rsidTr="00B827DD">
        <w:trPr>
          <w:gridAfter w:val="1"/>
          <w:wAfter w:w="567" w:type="dxa"/>
          <w:cantSplit/>
        </w:trPr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jc w:val="both"/>
            </w:pPr>
            <w:r w:rsidRPr="00640C7E">
              <w:rPr>
                <w:rFonts w:ascii="Garamond" w:hAnsi="Garamond"/>
              </w:rPr>
              <w:t>Excédent de recettes pour ordre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tabs>
                <w:tab w:val="decimal" w:pos="1393"/>
              </w:tabs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15.685.716,54</w:t>
            </w:r>
          </w:p>
        </w:tc>
      </w:tr>
      <w:tr w:rsidR="00192291" w:rsidRPr="00640C7E" w:rsidTr="00B827DD">
        <w:trPr>
          <w:gridAfter w:val="1"/>
          <w:wAfter w:w="567" w:type="dxa"/>
          <w:cantSplit/>
        </w:trPr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jc w:val="both"/>
            </w:pPr>
            <w:r w:rsidRPr="00640C7E">
              <w:rPr>
                <w:rFonts w:ascii="Garamond" w:hAnsi="Garamond"/>
              </w:rPr>
              <w:t>Report du solde des recettes et dépenses pour ordre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tabs>
                <w:tab w:val="decimal" w:pos="1393"/>
              </w:tabs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18.507.534,75</w:t>
            </w:r>
          </w:p>
        </w:tc>
      </w:tr>
    </w:tbl>
    <w:p w:rsidR="00192291" w:rsidRPr="00FF474F" w:rsidRDefault="00192291" w:rsidP="00192291">
      <w:pPr>
        <w:pStyle w:val="1texte"/>
        <w:spacing w:after="0"/>
        <w:ind w:left="0" w:firstLine="0"/>
        <w:rPr>
          <w:rFonts w:ascii="Arial" w:hAnsi="Arial" w:cs="Arial"/>
          <w:sz w:val="22"/>
          <w:szCs w:val="22"/>
          <w:lang w:val="fr-FR"/>
        </w:rPr>
      </w:pPr>
    </w:p>
    <w:p w:rsidR="00FF474F" w:rsidRPr="00FF474F" w:rsidRDefault="00FF474F" w:rsidP="00192291">
      <w:pPr>
        <w:pStyle w:val="1texte"/>
        <w:spacing w:after="0"/>
        <w:ind w:left="0" w:firstLine="0"/>
        <w:rPr>
          <w:rFonts w:ascii="Arial" w:hAnsi="Arial" w:cs="Arial"/>
          <w:sz w:val="22"/>
          <w:szCs w:val="22"/>
          <w:lang w:val="fr-FR"/>
        </w:rPr>
      </w:pPr>
    </w:p>
    <w:p w:rsidR="00FF474F" w:rsidRPr="00FF474F" w:rsidRDefault="00FF474F" w:rsidP="00192291">
      <w:pPr>
        <w:pStyle w:val="1texte"/>
        <w:spacing w:after="0"/>
        <w:ind w:left="0" w:firstLine="0"/>
        <w:rPr>
          <w:rFonts w:ascii="Arial" w:hAnsi="Arial" w:cs="Arial"/>
          <w:sz w:val="22"/>
          <w:szCs w:val="22"/>
          <w:lang w:val="fr-FR"/>
        </w:rPr>
      </w:pPr>
    </w:p>
    <w:tbl>
      <w:tblPr>
        <w:tblW w:w="7938" w:type="dxa"/>
        <w:tblInd w:w="13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08"/>
        <w:gridCol w:w="1763"/>
      </w:tblGrid>
      <w:tr w:rsidR="00192291" w:rsidRPr="00BC313D" w:rsidTr="00B827DD">
        <w:trPr>
          <w:cantSplit/>
        </w:trPr>
        <w:tc>
          <w:tcPr>
            <w:tcW w:w="7938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jc w:val="center"/>
            </w:pPr>
            <w:r w:rsidRPr="00640C7E">
              <w:rPr>
                <w:rFonts w:ascii="Garamond" w:hAnsi="Garamond"/>
                <w:b/>
                <w:bCs/>
              </w:rPr>
              <w:t>C. Recettes et dépenses des fonds déposés à la Trésorerie de l’Etat</w:t>
            </w:r>
          </w:p>
        </w:tc>
      </w:tr>
      <w:tr w:rsidR="00192291" w:rsidRPr="00640C7E" w:rsidTr="00B827DD">
        <w:trPr>
          <w:cantSplit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after="160" w:line="259" w:lineRule="auto"/>
              <w:rPr>
                <w:rFonts w:ascii="Garamond" w:hAnsi="Garamond"/>
              </w:rPr>
            </w:pPr>
          </w:p>
        </w:tc>
        <w:tc>
          <w:tcPr>
            <w:tcW w:w="5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both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Report du solde des recettes et dépenses de l’année précédente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2291" w:rsidRPr="00640C7E" w:rsidRDefault="00192291" w:rsidP="00B827DD">
            <w:pPr>
              <w:tabs>
                <w:tab w:val="decimal" w:pos="1405"/>
              </w:tabs>
              <w:spacing w:before="60" w:after="60"/>
              <w:ind w:right="95"/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2.814.493.864,81</w:t>
            </w:r>
          </w:p>
        </w:tc>
      </w:tr>
      <w:tr w:rsidR="00192291" w:rsidRPr="00640C7E" w:rsidTr="00B827DD">
        <w:trPr>
          <w:cantSplit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right"/>
            </w:pPr>
            <w:r w:rsidRPr="00640C7E">
              <w:rPr>
                <w:rFonts w:ascii="Garamond" w:hAnsi="Garamond"/>
              </w:rPr>
              <w:t>I.</w:t>
            </w:r>
          </w:p>
        </w:tc>
        <w:tc>
          <w:tcPr>
            <w:tcW w:w="5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both"/>
            </w:pPr>
            <w:r w:rsidRPr="00640C7E">
              <w:rPr>
                <w:rFonts w:ascii="Garamond" w:hAnsi="Garamond"/>
              </w:rPr>
              <w:t>Recettes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2291" w:rsidRPr="00640C7E" w:rsidRDefault="00192291" w:rsidP="00B827DD">
            <w:pPr>
              <w:tabs>
                <w:tab w:val="decimal" w:pos="1405"/>
              </w:tabs>
              <w:spacing w:before="60" w:after="60"/>
              <w:ind w:right="95"/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3.857.640.875,29</w:t>
            </w:r>
          </w:p>
        </w:tc>
      </w:tr>
      <w:tr w:rsidR="00192291" w:rsidRPr="00640C7E" w:rsidTr="00B827D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right"/>
            </w:pPr>
            <w:r w:rsidRPr="00640C7E">
              <w:rPr>
                <w:rFonts w:ascii="Garamond" w:hAnsi="Garamond"/>
              </w:rPr>
              <w:t>II.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both"/>
            </w:pPr>
            <w:r w:rsidRPr="00640C7E">
              <w:rPr>
                <w:rFonts w:ascii="Garamond" w:hAnsi="Garamond"/>
              </w:rPr>
              <w:t xml:space="preserve">Dépenses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2291" w:rsidRPr="00640C7E" w:rsidRDefault="00192291" w:rsidP="00B827DD">
            <w:pPr>
              <w:tabs>
                <w:tab w:val="decimal" w:pos="1405"/>
              </w:tabs>
              <w:spacing w:before="60" w:after="60"/>
              <w:ind w:right="95"/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3.946.358.321,53</w:t>
            </w:r>
          </w:p>
        </w:tc>
      </w:tr>
      <w:tr w:rsidR="00192291" w:rsidRPr="00640C7E" w:rsidTr="00B827D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right"/>
            </w:pPr>
            <w:r w:rsidRPr="00640C7E">
              <w:rPr>
                <w:rFonts w:ascii="Garamond" w:hAnsi="Garamond"/>
              </w:rPr>
              <w:t>III.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both"/>
            </w:pPr>
            <w:r w:rsidRPr="00640C7E">
              <w:rPr>
                <w:rFonts w:ascii="Garamond" w:hAnsi="Garamond"/>
              </w:rPr>
              <w:t>Excédent de dépenses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2291" w:rsidRPr="00640C7E" w:rsidRDefault="00192291" w:rsidP="00B827DD">
            <w:pPr>
              <w:tabs>
                <w:tab w:val="decimal" w:pos="1405"/>
              </w:tabs>
              <w:spacing w:before="60" w:after="60"/>
              <w:ind w:right="95"/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88.717.446,24</w:t>
            </w:r>
          </w:p>
        </w:tc>
      </w:tr>
      <w:tr w:rsidR="00192291" w:rsidRPr="00640C7E" w:rsidTr="00B827D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right"/>
            </w:pPr>
            <w:r w:rsidRPr="00640C7E">
              <w:rPr>
                <w:rFonts w:ascii="Garamond" w:hAnsi="Garamond"/>
              </w:rPr>
              <w:t>IV.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640C7E" w:rsidRDefault="00192291" w:rsidP="00B827DD">
            <w:pPr>
              <w:spacing w:before="60" w:after="60"/>
              <w:jc w:val="both"/>
            </w:pPr>
            <w:r w:rsidRPr="00640C7E">
              <w:rPr>
                <w:rFonts w:ascii="Garamond" w:hAnsi="Garamond"/>
              </w:rPr>
              <w:t>Report du solde des recettes et dépenses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2291" w:rsidRPr="00640C7E" w:rsidRDefault="00192291" w:rsidP="00B827DD">
            <w:pPr>
              <w:tabs>
                <w:tab w:val="decimal" w:pos="1405"/>
              </w:tabs>
              <w:spacing w:before="60" w:after="60"/>
              <w:ind w:right="95"/>
              <w:jc w:val="right"/>
              <w:rPr>
                <w:rFonts w:ascii="Garamond" w:hAnsi="Garamond"/>
              </w:rPr>
            </w:pPr>
            <w:r w:rsidRPr="00640C7E">
              <w:rPr>
                <w:rFonts w:ascii="Garamond" w:hAnsi="Garamond"/>
              </w:rPr>
              <w:t>2.725.776.418,57</w:t>
            </w:r>
          </w:p>
        </w:tc>
      </w:tr>
    </w:tbl>
    <w:p w:rsidR="00192291" w:rsidRPr="00FF474F" w:rsidRDefault="00192291" w:rsidP="00192291">
      <w:pPr>
        <w:rPr>
          <w:sz w:val="22"/>
          <w:szCs w:val="22"/>
          <w:u w:val="single"/>
        </w:rPr>
      </w:pPr>
    </w:p>
    <w:p w:rsidR="00192291" w:rsidRDefault="00192291" w:rsidP="00192291">
      <w:pPr>
        <w:rPr>
          <w:sz w:val="22"/>
          <w:szCs w:val="22"/>
          <w:u w:val="single"/>
        </w:rPr>
      </w:pPr>
    </w:p>
    <w:p w:rsidR="00FF474F" w:rsidRPr="0011532A" w:rsidRDefault="00FF474F" w:rsidP="00FF47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fr-LU" w:eastAsia="fr-LU"/>
        </w:rPr>
      </w:pPr>
      <w:r w:rsidRPr="0011532A">
        <w:rPr>
          <w:rFonts w:ascii="Arial" w:hAnsi="Arial" w:cs="Arial"/>
          <w:sz w:val="22"/>
          <w:szCs w:val="22"/>
          <w:lang w:val="fr-LU" w:eastAsia="fr-LU"/>
        </w:rPr>
        <w:t>A noter qu'au niveau du budget courant, les écarts entre le budget voté et le compte général se chiffrent:</w:t>
      </w:r>
    </w:p>
    <w:p w:rsidR="00FF474F" w:rsidRPr="0011532A" w:rsidRDefault="00FF474F" w:rsidP="00FF47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fr-LU" w:eastAsia="fr-LU"/>
        </w:rPr>
      </w:pPr>
      <w:r w:rsidRPr="0011532A">
        <w:rPr>
          <w:rFonts w:ascii="Arial" w:hAnsi="Arial" w:cs="Arial"/>
          <w:sz w:val="22"/>
          <w:szCs w:val="22"/>
          <w:lang w:val="fr-LU" w:eastAsia="fr-LU"/>
        </w:rPr>
        <w:t>- au niveau des recettes courantes, à 82,84 millions d'</w:t>
      </w:r>
      <w:r>
        <w:rPr>
          <w:rFonts w:ascii="Arial" w:hAnsi="Arial" w:cs="Arial"/>
          <w:sz w:val="22"/>
          <w:szCs w:val="22"/>
          <w:lang w:val="fr-LU" w:eastAsia="fr-LU"/>
        </w:rPr>
        <w:t>euros</w:t>
      </w:r>
      <w:r w:rsidRPr="0011532A">
        <w:rPr>
          <w:rFonts w:ascii="Arial" w:hAnsi="Arial" w:cs="Arial"/>
          <w:sz w:val="22"/>
          <w:szCs w:val="22"/>
          <w:lang w:val="fr-LU" w:eastAsia="fr-LU"/>
        </w:rPr>
        <w:t xml:space="preserve"> (0,69%)</w:t>
      </w:r>
      <w:r>
        <w:rPr>
          <w:rFonts w:ascii="Arial" w:hAnsi="Arial" w:cs="Arial"/>
          <w:sz w:val="22"/>
          <w:szCs w:val="22"/>
          <w:lang w:val="fr-LU" w:eastAsia="fr-LU"/>
        </w:rPr>
        <w:t>;</w:t>
      </w:r>
    </w:p>
    <w:p w:rsidR="00FF474F" w:rsidRPr="0011532A" w:rsidRDefault="00FF474F" w:rsidP="00FF47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fr-LU" w:eastAsia="fr-LU"/>
        </w:rPr>
      </w:pPr>
      <w:r w:rsidRPr="0011532A">
        <w:rPr>
          <w:rFonts w:ascii="Arial" w:hAnsi="Arial" w:cs="Arial"/>
          <w:sz w:val="22"/>
          <w:szCs w:val="22"/>
          <w:lang w:val="fr-LU" w:eastAsia="fr-LU"/>
        </w:rPr>
        <w:t>- au niveau des dépenses courantes, à 36,86 millions d'</w:t>
      </w:r>
      <w:r>
        <w:rPr>
          <w:rFonts w:ascii="Arial" w:hAnsi="Arial" w:cs="Arial"/>
          <w:sz w:val="22"/>
          <w:szCs w:val="22"/>
          <w:lang w:val="fr-LU" w:eastAsia="fr-LU"/>
        </w:rPr>
        <w:t>euros</w:t>
      </w:r>
      <w:r w:rsidRPr="0011532A">
        <w:rPr>
          <w:rFonts w:ascii="Arial" w:hAnsi="Arial" w:cs="Arial"/>
          <w:sz w:val="22"/>
          <w:szCs w:val="22"/>
          <w:lang w:val="fr-LU" w:eastAsia="fr-LU"/>
        </w:rPr>
        <w:t xml:space="preserve"> (0,33%).</w:t>
      </w:r>
    </w:p>
    <w:p w:rsidR="00FF474F" w:rsidRPr="0011532A" w:rsidRDefault="00FF474F" w:rsidP="00FF474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FF474F" w:rsidRPr="00FF474F" w:rsidRDefault="00FF474F" w:rsidP="00192291">
      <w:pPr>
        <w:rPr>
          <w:sz w:val="22"/>
          <w:szCs w:val="22"/>
          <w:u w:val="single"/>
        </w:rPr>
      </w:pPr>
    </w:p>
    <w:p w:rsidR="00192291" w:rsidRPr="00D176CA" w:rsidRDefault="00192291" w:rsidP="00192291">
      <w:pPr>
        <w:rPr>
          <w:b/>
          <w:sz w:val="22"/>
          <w:szCs w:val="22"/>
        </w:rPr>
      </w:pPr>
      <w:r w:rsidRPr="00D176CA">
        <w:rPr>
          <w:b/>
          <w:sz w:val="22"/>
          <w:szCs w:val="22"/>
          <w:u w:val="single"/>
        </w:rPr>
        <w:t>Tableau</w:t>
      </w:r>
      <w:r w:rsidRPr="00D176CA">
        <w:rPr>
          <w:b/>
          <w:sz w:val="22"/>
          <w:szCs w:val="22"/>
        </w:rPr>
        <w:t>: Comparaison du Budget voté par rapport à son exécution</w:t>
      </w:r>
    </w:p>
    <w:p w:rsidR="00192291" w:rsidRPr="00D176CA" w:rsidRDefault="00192291" w:rsidP="00192291">
      <w:pPr>
        <w:rPr>
          <w:b/>
        </w:rPr>
      </w:pPr>
    </w:p>
    <w:tbl>
      <w:tblPr>
        <w:tblW w:w="8600" w:type="dxa"/>
        <w:tblInd w:w="56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984"/>
        <w:gridCol w:w="2020"/>
        <w:gridCol w:w="910"/>
      </w:tblGrid>
      <w:tr w:rsidR="00192291" w:rsidRPr="003B1BB3" w:rsidTr="00B827DD">
        <w:trPr>
          <w:cantSplit/>
        </w:trPr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3B1BB3" w:rsidRDefault="00192291" w:rsidP="00B827DD">
            <w:pPr>
              <w:spacing w:before="120"/>
            </w:pPr>
          </w:p>
        </w:tc>
        <w:tc>
          <w:tcPr>
            <w:tcW w:w="19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3B1BB3" w:rsidRDefault="00192291" w:rsidP="00B827DD">
            <w:pPr>
              <w:spacing w:before="120"/>
              <w:jc w:val="center"/>
            </w:pPr>
            <w:r w:rsidRPr="003B1BB3">
              <w:rPr>
                <w:rFonts w:ascii="Garamond" w:hAnsi="Garamond"/>
                <w:b/>
                <w:bCs/>
              </w:rPr>
              <w:t>Budget voté</w:t>
            </w:r>
            <w:r w:rsidRPr="003B1BB3">
              <w:rPr>
                <w:rFonts w:ascii="Garamond" w:hAnsi="Garamond"/>
                <w:b/>
                <w:bCs/>
              </w:rPr>
              <w:br/>
              <w:t>2014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3B1BB3" w:rsidRDefault="00192291" w:rsidP="00B827DD">
            <w:pPr>
              <w:spacing w:before="120"/>
              <w:jc w:val="center"/>
            </w:pPr>
            <w:r w:rsidRPr="003B1BB3">
              <w:rPr>
                <w:rFonts w:ascii="Garamond" w:hAnsi="Garamond"/>
                <w:b/>
                <w:bCs/>
              </w:rPr>
              <w:t>Compte général</w:t>
            </w:r>
            <w:r w:rsidRPr="003B1BB3">
              <w:rPr>
                <w:rFonts w:ascii="Garamond" w:hAnsi="Garamond"/>
                <w:b/>
                <w:bCs/>
              </w:rPr>
              <w:br/>
              <w:t>2014</w:t>
            </w:r>
          </w:p>
        </w:tc>
        <w:tc>
          <w:tcPr>
            <w:tcW w:w="29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3B1BB3" w:rsidRDefault="00192291" w:rsidP="00B827DD">
            <w:pPr>
              <w:spacing w:before="120"/>
              <w:jc w:val="center"/>
            </w:pPr>
            <w:r w:rsidRPr="003B1BB3">
              <w:rPr>
                <w:rFonts w:ascii="Garamond" w:hAnsi="Garamond"/>
                <w:b/>
                <w:bCs/>
              </w:rPr>
              <w:t>Variation</w:t>
            </w:r>
          </w:p>
        </w:tc>
      </w:tr>
      <w:tr w:rsidR="00192291" w:rsidRPr="003B1BB3" w:rsidTr="00B827DD">
        <w:trPr>
          <w:cantSplit/>
        </w:trPr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3B1BB3" w:rsidRDefault="00192291" w:rsidP="00B827DD">
            <w:pPr>
              <w:spacing w:before="120"/>
              <w:rPr>
                <w:rFonts w:ascii="Garamond" w:hAnsi="Garamond"/>
                <w:b/>
                <w:bCs/>
              </w:rPr>
            </w:pPr>
          </w:p>
        </w:tc>
        <w:tc>
          <w:tcPr>
            <w:tcW w:w="19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3B1BB3" w:rsidRDefault="00192291" w:rsidP="00B827DD">
            <w:pPr>
              <w:spacing w:before="12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3B1BB3" w:rsidRDefault="00192291" w:rsidP="00B827DD">
            <w:pPr>
              <w:spacing w:before="12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91" w:rsidRPr="003B1BB3" w:rsidRDefault="00192291" w:rsidP="00B827DD">
            <w:pPr>
              <w:spacing w:before="120"/>
              <w:jc w:val="center"/>
              <w:rPr>
                <w:rFonts w:ascii="Garamond" w:hAnsi="Garamond"/>
                <w:b/>
                <w:bCs/>
              </w:rPr>
            </w:pPr>
            <w:r w:rsidRPr="003B1BB3">
              <w:rPr>
                <w:rFonts w:ascii="Garamond" w:hAnsi="Garamond"/>
                <w:b/>
                <w:bCs/>
              </w:rPr>
              <w:t>en valeur</w:t>
            </w:r>
          </w:p>
        </w:tc>
        <w:tc>
          <w:tcPr>
            <w:tcW w:w="910" w:type="dxa"/>
            <w:vAlign w:val="center"/>
          </w:tcPr>
          <w:p w:rsidR="00192291" w:rsidRPr="003B1BB3" w:rsidRDefault="00192291" w:rsidP="00B827DD">
            <w:pPr>
              <w:spacing w:before="120"/>
              <w:jc w:val="center"/>
              <w:rPr>
                <w:rFonts w:ascii="Garamond" w:hAnsi="Garamond"/>
                <w:b/>
                <w:bCs/>
              </w:rPr>
            </w:pPr>
            <w:r w:rsidRPr="003B1BB3">
              <w:rPr>
                <w:rFonts w:ascii="Garamond" w:hAnsi="Garamond"/>
                <w:b/>
                <w:bCs/>
              </w:rPr>
              <w:t>en %</w:t>
            </w:r>
          </w:p>
        </w:tc>
      </w:tr>
      <w:tr w:rsidR="00192291" w:rsidRPr="003B1BB3" w:rsidTr="00B827DD">
        <w:trPr>
          <w:cantSplit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spacing w:before="120"/>
            </w:pPr>
            <w:r w:rsidRPr="003B1BB3">
              <w:rPr>
                <w:rFonts w:ascii="Garamond" w:hAnsi="Garamond"/>
              </w:rPr>
              <w:t>Recettes</w:t>
            </w:r>
            <w:r w:rsidRPr="003B1BB3">
              <w:rPr>
                <w:rFonts w:ascii="Garamond" w:hAnsi="Garamond"/>
              </w:rPr>
              <w:br/>
              <w:t>- courantes</w:t>
            </w:r>
            <w:r w:rsidRPr="003B1BB3">
              <w:rPr>
                <w:rFonts w:ascii="Garamond" w:hAnsi="Garamond"/>
              </w:rPr>
              <w:br/>
              <w:t>- en capital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1452"/>
              </w:tabs>
              <w:spacing w:before="120"/>
            </w:pPr>
            <w:r w:rsidRPr="003B1BB3">
              <w:rPr>
                <w:rFonts w:ascii="Garamond" w:hAnsi="Garamond"/>
              </w:rPr>
              <w:br/>
              <w:t>12.051.964.945,00</w:t>
            </w:r>
            <w:r w:rsidRPr="003B1BB3">
              <w:rPr>
                <w:rFonts w:ascii="Garamond" w:hAnsi="Garamond"/>
              </w:rPr>
              <w:br/>
              <w:t>73.369.397,00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1451"/>
              </w:tabs>
              <w:spacing w:before="120"/>
            </w:pPr>
            <w:r w:rsidRPr="003B1BB3">
              <w:rPr>
                <w:rFonts w:ascii="Garamond" w:hAnsi="Garamond"/>
              </w:rPr>
              <w:br/>
              <w:t>12.134.839.887,39</w:t>
            </w:r>
            <w:r w:rsidRPr="003B1BB3">
              <w:rPr>
                <w:rFonts w:ascii="Garamond" w:hAnsi="Garamond"/>
              </w:rPr>
              <w:br/>
              <w:t>86.660.238,95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1281"/>
              </w:tabs>
              <w:spacing w:before="120"/>
            </w:pPr>
            <w:r w:rsidRPr="003B1BB3">
              <w:rPr>
                <w:rFonts w:ascii="Garamond" w:hAnsi="Garamond"/>
              </w:rPr>
              <w:br/>
              <w:t>82.874.942,39</w:t>
            </w:r>
            <w:r w:rsidRPr="003B1BB3">
              <w:rPr>
                <w:rFonts w:ascii="Garamond" w:hAnsi="Garamond"/>
              </w:rPr>
              <w:br/>
              <w:t>13.290.841,95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562"/>
              </w:tabs>
              <w:spacing w:before="120"/>
              <w:rPr>
                <w:rFonts w:ascii="Garamond" w:hAnsi="Garamond"/>
              </w:rPr>
            </w:pPr>
            <w:r w:rsidRPr="003B1BB3">
              <w:rPr>
                <w:rFonts w:ascii="Garamond" w:hAnsi="Garamond"/>
              </w:rPr>
              <w:br/>
              <w:t>0,69%</w:t>
            </w:r>
            <w:r w:rsidRPr="003B1BB3">
              <w:rPr>
                <w:rFonts w:ascii="Garamond" w:hAnsi="Garamond"/>
              </w:rPr>
              <w:br/>
              <w:t>18,11%</w:t>
            </w:r>
          </w:p>
        </w:tc>
      </w:tr>
      <w:tr w:rsidR="00192291" w:rsidRPr="003B1BB3" w:rsidTr="00B827DD">
        <w:trPr>
          <w:cantSplit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spacing w:before="60" w:after="60"/>
            </w:pPr>
            <w:r w:rsidRPr="003B1BB3">
              <w:rPr>
                <w:rFonts w:ascii="Garamond" w:hAnsi="Garamond"/>
              </w:rPr>
              <w:t>Total recettes (1)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1452"/>
              </w:tabs>
              <w:spacing w:before="60" w:after="60"/>
              <w:ind w:left="-198"/>
            </w:pPr>
            <w:r w:rsidRPr="003B1BB3">
              <w:rPr>
                <w:rFonts w:ascii="Garamond" w:hAnsi="Garamond"/>
              </w:rPr>
              <w:t>12.125.334.342,00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1451"/>
              </w:tabs>
              <w:spacing w:before="60" w:after="60"/>
            </w:pPr>
            <w:r w:rsidRPr="003B1BB3">
              <w:rPr>
                <w:rFonts w:ascii="Garamond" w:hAnsi="Garamond"/>
              </w:rPr>
              <w:t>12.221.500.126,34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1281"/>
              </w:tabs>
              <w:spacing w:before="60" w:after="60"/>
              <w:ind w:left="-336"/>
            </w:pPr>
            <w:r w:rsidRPr="003B1BB3">
              <w:rPr>
                <w:rFonts w:ascii="Garamond" w:hAnsi="Garamond"/>
              </w:rPr>
              <w:t>96.165.784,34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562"/>
              </w:tabs>
              <w:spacing w:before="60" w:after="60"/>
            </w:pPr>
            <w:r w:rsidRPr="003B1BB3">
              <w:rPr>
                <w:rFonts w:ascii="Garamond" w:hAnsi="Garamond"/>
              </w:rPr>
              <w:t>0,79%</w:t>
            </w:r>
          </w:p>
        </w:tc>
      </w:tr>
      <w:tr w:rsidR="00192291" w:rsidRPr="003B1BB3" w:rsidTr="00B827DD">
        <w:trPr>
          <w:cantSplit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spacing w:before="60" w:after="60"/>
            </w:pPr>
            <w:r w:rsidRPr="003B1BB3">
              <w:rPr>
                <w:rFonts w:ascii="Garamond" w:hAnsi="Garamond"/>
              </w:rPr>
              <w:t>Dépenses</w:t>
            </w:r>
            <w:r w:rsidRPr="003B1BB3">
              <w:rPr>
                <w:rFonts w:ascii="Garamond" w:hAnsi="Garamond"/>
              </w:rPr>
              <w:br/>
              <w:t>- courantes</w:t>
            </w:r>
            <w:r w:rsidRPr="003B1BB3">
              <w:rPr>
                <w:rFonts w:ascii="Garamond" w:hAnsi="Garamond"/>
              </w:rPr>
              <w:br/>
              <w:t>- en capital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1452"/>
              </w:tabs>
              <w:spacing w:before="60" w:after="60"/>
              <w:ind w:left="-198"/>
            </w:pPr>
            <w:r w:rsidRPr="003B1BB3">
              <w:rPr>
                <w:rFonts w:ascii="Garamond" w:hAnsi="Garamond"/>
              </w:rPr>
              <w:br/>
              <w:t>11.259.354.020,00</w:t>
            </w:r>
            <w:r w:rsidRPr="003B1BB3">
              <w:rPr>
                <w:rFonts w:ascii="Garamond" w:hAnsi="Garamond"/>
              </w:rPr>
              <w:br/>
              <w:t>1.038.113.177,00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1451"/>
              </w:tabs>
              <w:spacing w:before="60" w:after="60"/>
            </w:pPr>
            <w:r w:rsidRPr="003B1BB3">
              <w:rPr>
                <w:rFonts w:ascii="Garamond" w:hAnsi="Garamond"/>
              </w:rPr>
              <w:br/>
              <w:t>11.296.263.747,24</w:t>
            </w:r>
            <w:r w:rsidRPr="003B1BB3">
              <w:rPr>
                <w:rFonts w:ascii="Garamond" w:hAnsi="Garamond"/>
              </w:rPr>
              <w:br/>
              <w:t>1.067.588.312,44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1281"/>
              </w:tabs>
              <w:spacing w:before="60" w:after="60"/>
              <w:ind w:left="-336"/>
            </w:pPr>
            <w:r w:rsidRPr="003B1BB3">
              <w:rPr>
                <w:rFonts w:ascii="Garamond" w:hAnsi="Garamond"/>
              </w:rPr>
              <w:br/>
              <w:t>36.909.727,24</w:t>
            </w:r>
            <w:r w:rsidRPr="003B1BB3">
              <w:rPr>
                <w:rFonts w:ascii="Garamond" w:hAnsi="Garamond"/>
              </w:rPr>
              <w:br/>
              <w:t>29.475.135,44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562"/>
              </w:tabs>
              <w:spacing w:before="60" w:after="60"/>
            </w:pPr>
            <w:r w:rsidRPr="003B1BB3">
              <w:rPr>
                <w:rFonts w:ascii="Garamond" w:hAnsi="Garamond"/>
              </w:rPr>
              <w:br/>
              <w:t>0,33%</w:t>
            </w:r>
            <w:r w:rsidRPr="003B1BB3">
              <w:rPr>
                <w:rFonts w:ascii="Garamond" w:hAnsi="Garamond"/>
              </w:rPr>
              <w:br/>
              <w:t>2,84%</w:t>
            </w:r>
          </w:p>
        </w:tc>
      </w:tr>
      <w:tr w:rsidR="00192291" w:rsidRPr="003B1BB3" w:rsidTr="00B827DD">
        <w:trPr>
          <w:cantSplit/>
          <w:trHeight w:val="275"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spacing w:before="60" w:after="60"/>
            </w:pPr>
            <w:r w:rsidRPr="003B1BB3">
              <w:rPr>
                <w:rFonts w:ascii="Garamond" w:hAnsi="Garamond"/>
              </w:rPr>
              <w:t>Total dépenses (2)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1452"/>
              </w:tabs>
              <w:spacing w:before="60" w:after="60"/>
              <w:ind w:left="-198"/>
            </w:pPr>
            <w:r w:rsidRPr="003B1BB3">
              <w:rPr>
                <w:rFonts w:ascii="Garamond" w:hAnsi="Garamond"/>
              </w:rPr>
              <w:t>12.297.467.197,00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1451"/>
              </w:tabs>
              <w:spacing w:before="60" w:after="60"/>
            </w:pPr>
            <w:r w:rsidRPr="003B1BB3">
              <w:rPr>
                <w:rFonts w:ascii="Garamond" w:hAnsi="Garamond"/>
              </w:rPr>
              <w:t>12.363.852.059,68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1281"/>
              </w:tabs>
              <w:spacing w:before="60" w:after="60"/>
              <w:ind w:left="-336"/>
            </w:pPr>
            <w:r w:rsidRPr="003B1BB3">
              <w:rPr>
                <w:rFonts w:ascii="Garamond" w:hAnsi="Garamond"/>
              </w:rPr>
              <w:t>66.384.862,68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tabs>
                <w:tab w:val="decimal" w:pos="562"/>
              </w:tabs>
              <w:spacing w:before="60" w:after="60"/>
            </w:pPr>
            <w:r w:rsidRPr="003B1BB3">
              <w:rPr>
                <w:rFonts w:ascii="Garamond" w:hAnsi="Garamond"/>
              </w:rPr>
              <w:t>0,54%</w:t>
            </w:r>
          </w:p>
        </w:tc>
      </w:tr>
      <w:tr w:rsidR="00192291" w:rsidRPr="003B1BB3" w:rsidTr="00B827DD">
        <w:trPr>
          <w:cantSplit/>
        </w:trPr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91" w:rsidRPr="003B1BB3" w:rsidRDefault="00192291" w:rsidP="00B827DD">
            <w:pPr>
              <w:spacing w:before="60" w:after="60"/>
            </w:pPr>
            <w:r w:rsidRPr="003B1BB3">
              <w:rPr>
                <w:rFonts w:ascii="Garamond" w:hAnsi="Garamond"/>
              </w:rPr>
              <w:t xml:space="preserve">Excédent de </w:t>
            </w:r>
            <w:r w:rsidRPr="003B1BB3">
              <w:rPr>
                <w:rFonts w:ascii="Garamond" w:hAnsi="Garamond"/>
              </w:rPr>
              <w:br/>
              <w:t>dépenses (2) - (1)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2291" w:rsidRPr="003B1BB3" w:rsidRDefault="00192291" w:rsidP="00B827DD">
            <w:pPr>
              <w:tabs>
                <w:tab w:val="decimal" w:pos="1452"/>
              </w:tabs>
              <w:spacing w:before="60" w:after="60"/>
              <w:ind w:left="-198"/>
            </w:pPr>
            <w:r w:rsidRPr="003B1BB3">
              <w:rPr>
                <w:rFonts w:ascii="Garamond" w:hAnsi="Garamond"/>
              </w:rPr>
              <w:t>172.132.855,00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2291" w:rsidRPr="003B1BB3" w:rsidRDefault="00192291" w:rsidP="00B827DD">
            <w:pPr>
              <w:tabs>
                <w:tab w:val="decimal" w:pos="1451"/>
              </w:tabs>
              <w:spacing w:before="60" w:after="60"/>
            </w:pPr>
            <w:r w:rsidRPr="003B1BB3">
              <w:rPr>
                <w:rFonts w:ascii="Garamond" w:hAnsi="Garamond"/>
              </w:rPr>
              <w:t>142.351.933,34</w:t>
            </w:r>
          </w:p>
        </w:tc>
        <w:tc>
          <w:tcPr>
            <w:tcW w:w="2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2291" w:rsidRPr="003B1BB3" w:rsidRDefault="00192291" w:rsidP="00B827DD">
            <w:pPr>
              <w:tabs>
                <w:tab w:val="decimal" w:pos="1281"/>
              </w:tabs>
              <w:spacing w:before="60" w:after="60"/>
              <w:ind w:left="-336"/>
            </w:pPr>
            <w:r w:rsidRPr="003B1BB3">
              <w:rPr>
                <w:rFonts w:ascii="Garamond" w:hAnsi="Garamond"/>
              </w:rPr>
              <w:t>29.780.921,66</w:t>
            </w:r>
          </w:p>
        </w:tc>
        <w:tc>
          <w:tcPr>
            <w:tcW w:w="9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2291" w:rsidRPr="003B1BB3" w:rsidRDefault="00192291" w:rsidP="00B827DD">
            <w:pPr>
              <w:tabs>
                <w:tab w:val="decimal" w:pos="562"/>
              </w:tabs>
              <w:spacing w:before="60" w:after="60"/>
            </w:pPr>
            <w:r w:rsidRPr="003B1BB3">
              <w:rPr>
                <w:rFonts w:ascii="Garamond" w:hAnsi="Garamond"/>
              </w:rPr>
              <w:t> </w:t>
            </w:r>
          </w:p>
        </w:tc>
      </w:tr>
    </w:tbl>
    <w:p w:rsidR="00192291" w:rsidRPr="00640C7E" w:rsidRDefault="00192291" w:rsidP="00192291">
      <w:pPr>
        <w:tabs>
          <w:tab w:val="left" w:pos="4788"/>
          <w:tab w:val="left" w:pos="6468"/>
          <w:tab w:val="left" w:pos="8112"/>
        </w:tabs>
        <w:spacing w:before="120"/>
        <w:ind w:left="567"/>
        <w:rPr>
          <w:rFonts w:ascii="Garamond" w:hAnsi="Garamond" w:cs="Arial"/>
          <w:i/>
          <w:sz w:val="16"/>
          <w:szCs w:val="16"/>
        </w:rPr>
      </w:pPr>
      <w:r w:rsidRPr="00640C7E">
        <w:rPr>
          <w:rFonts w:ascii="Garamond" w:hAnsi="Garamond" w:cs="Arial"/>
          <w:i/>
          <w:sz w:val="16"/>
          <w:szCs w:val="16"/>
        </w:rPr>
        <w:t>Source chiffres : budget de l’Etat 2014, compte général 2014 ; tableau : Cour des comptes</w:t>
      </w:r>
    </w:p>
    <w:p w:rsidR="00192291" w:rsidRDefault="00192291" w:rsidP="00192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eastAsia="fr-LU"/>
        </w:rPr>
      </w:pPr>
    </w:p>
    <w:p w:rsidR="00FF474F" w:rsidRPr="00C9208E" w:rsidRDefault="00FF474F" w:rsidP="00192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eastAsia="fr-LU"/>
        </w:rPr>
      </w:pPr>
    </w:p>
    <w:p w:rsidR="00192291" w:rsidRPr="00C9208E" w:rsidRDefault="00192291" w:rsidP="00192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fr-LU" w:eastAsia="fr-LU"/>
        </w:rPr>
      </w:pPr>
      <w:r w:rsidRPr="00C9208E">
        <w:rPr>
          <w:rFonts w:ascii="Arial" w:hAnsi="Arial" w:cs="Arial"/>
          <w:sz w:val="22"/>
          <w:szCs w:val="22"/>
          <w:lang w:val="fr-LU" w:eastAsia="fr-LU"/>
        </w:rPr>
        <w:t>Les dépenses totales autorisées dépassent le volume total des dépenses fixé par le budget voté de 66,35 millions d'</w:t>
      </w:r>
      <w:r>
        <w:rPr>
          <w:rFonts w:ascii="Arial" w:hAnsi="Arial" w:cs="Arial"/>
          <w:sz w:val="22"/>
          <w:szCs w:val="22"/>
          <w:lang w:val="fr-LU" w:eastAsia="fr-LU"/>
        </w:rPr>
        <w:t>euros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(soit un écart de 0,54% entre le budget voté et le compte général).</w:t>
      </w:r>
    </w:p>
    <w:p w:rsidR="00192291" w:rsidRPr="00C9208E" w:rsidRDefault="00192291" w:rsidP="00192291">
      <w:pPr>
        <w:spacing w:line="276" w:lineRule="auto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192291" w:rsidRDefault="00192291" w:rsidP="00192291">
      <w:pPr>
        <w:spacing w:line="276" w:lineRule="auto"/>
        <w:jc w:val="center"/>
        <w:rPr>
          <w:rFonts w:ascii="Arial" w:hAnsi="Arial" w:cs="Arial"/>
          <w:sz w:val="22"/>
          <w:szCs w:val="22"/>
          <w:lang w:val="fr-LU" w:eastAsia="fr-LU"/>
        </w:rPr>
      </w:pPr>
      <w:r>
        <w:rPr>
          <w:rFonts w:ascii="Arial" w:hAnsi="Arial" w:cs="Arial"/>
          <w:sz w:val="22"/>
          <w:szCs w:val="22"/>
          <w:lang w:val="fr-LU" w:eastAsia="fr-LU"/>
        </w:rPr>
        <w:t>*</w:t>
      </w:r>
    </w:p>
    <w:p w:rsidR="00192291" w:rsidRPr="00C9208E" w:rsidRDefault="00192291" w:rsidP="00192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192291" w:rsidRDefault="00192291" w:rsidP="00192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fr-LU" w:eastAsia="fr-LU"/>
        </w:rPr>
      </w:pP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Le compte général pour l'exercice 2014 renseigne </w:t>
      </w:r>
      <w:r w:rsidRPr="00DB6309">
        <w:rPr>
          <w:rFonts w:ascii="Arial" w:hAnsi="Arial" w:cs="Arial"/>
          <w:sz w:val="22"/>
          <w:szCs w:val="22"/>
          <w:lang w:val="fr-LU" w:eastAsia="fr-LU"/>
        </w:rPr>
        <w:t xml:space="preserve">des </w:t>
      </w:r>
      <w:r w:rsidRPr="00DB6309">
        <w:rPr>
          <w:rFonts w:ascii="Arial" w:hAnsi="Arial" w:cs="Arial"/>
          <w:b/>
          <w:sz w:val="22"/>
          <w:szCs w:val="22"/>
          <w:lang w:val="fr-LU" w:eastAsia="fr-LU"/>
        </w:rPr>
        <w:t>recettes courantes</w:t>
      </w:r>
      <w:r w:rsidRPr="00DB6309">
        <w:rPr>
          <w:rFonts w:ascii="Arial" w:hAnsi="Arial" w:cs="Arial"/>
          <w:sz w:val="22"/>
          <w:szCs w:val="22"/>
          <w:lang w:val="fr-LU" w:eastAsia="fr-LU"/>
        </w:rPr>
        <w:t xml:space="preserve"> de 12,134.840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</w:t>
      </w:r>
      <w:r>
        <w:rPr>
          <w:rFonts w:ascii="Arial" w:hAnsi="Arial" w:cs="Arial"/>
          <w:sz w:val="22"/>
          <w:szCs w:val="22"/>
          <w:lang w:val="fr-LU" w:eastAsia="fr-LU"/>
        </w:rPr>
        <w:t>milliards d’euros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et des recettes en capital de 86</w:t>
      </w:r>
      <w:r>
        <w:rPr>
          <w:rFonts w:ascii="Arial" w:hAnsi="Arial" w:cs="Arial"/>
          <w:sz w:val="22"/>
          <w:szCs w:val="22"/>
          <w:lang w:val="fr-LU" w:eastAsia="fr-LU"/>
        </w:rPr>
        <w:t>,</w:t>
      </w:r>
      <w:r w:rsidRPr="00C9208E">
        <w:rPr>
          <w:rFonts w:ascii="Arial" w:hAnsi="Arial" w:cs="Arial"/>
          <w:sz w:val="22"/>
          <w:szCs w:val="22"/>
          <w:lang w:val="fr-LU" w:eastAsia="fr-LU"/>
        </w:rPr>
        <w:t>66</w:t>
      </w:r>
      <w:r>
        <w:rPr>
          <w:rFonts w:ascii="Arial" w:hAnsi="Arial" w:cs="Arial"/>
          <w:sz w:val="22"/>
          <w:szCs w:val="22"/>
          <w:lang w:val="fr-LU" w:eastAsia="fr-LU"/>
        </w:rPr>
        <w:t xml:space="preserve"> millions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</w:t>
      </w:r>
      <w:r>
        <w:rPr>
          <w:rFonts w:ascii="Arial" w:hAnsi="Arial" w:cs="Arial"/>
          <w:sz w:val="22"/>
          <w:szCs w:val="22"/>
          <w:lang w:val="fr-LU" w:eastAsia="fr-LU"/>
        </w:rPr>
        <w:t>d’euros</w:t>
      </w:r>
      <w:r w:rsidRPr="00C9208E">
        <w:rPr>
          <w:rFonts w:ascii="Arial" w:hAnsi="Arial" w:cs="Arial"/>
          <w:sz w:val="22"/>
          <w:szCs w:val="22"/>
          <w:lang w:val="fr-LU" w:eastAsia="fr-LU"/>
        </w:rPr>
        <w:t>, soit des recettes totales de 12</w:t>
      </w:r>
      <w:r>
        <w:rPr>
          <w:rFonts w:ascii="Arial" w:hAnsi="Arial" w:cs="Arial"/>
          <w:sz w:val="22"/>
          <w:szCs w:val="22"/>
          <w:lang w:val="fr-LU" w:eastAsia="fr-LU"/>
        </w:rPr>
        <w:t>,</w:t>
      </w:r>
      <w:r w:rsidRPr="00C9208E">
        <w:rPr>
          <w:rFonts w:ascii="Arial" w:hAnsi="Arial" w:cs="Arial"/>
          <w:sz w:val="22"/>
          <w:szCs w:val="22"/>
          <w:lang w:val="fr-LU" w:eastAsia="fr-LU"/>
        </w:rPr>
        <w:t>221</w:t>
      </w:r>
      <w:r>
        <w:rPr>
          <w:rFonts w:ascii="Arial" w:hAnsi="Arial" w:cs="Arial"/>
          <w:sz w:val="22"/>
          <w:szCs w:val="22"/>
          <w:lang w:val="fr-LU" w:eastAsia="fr-LU"/>
        </w:rPr>
        <w:t>.</w:t>
      </w:r>
      <w:r w:rsidRPr="00C9208E">
        <w:rPr>
          <w:rFonts w:ascii="Arial" w:hAnsi="Arial" w:cs="Arial"/>
          <w:sz w:val="22"/>
          <w:szCs w:val="22"/>
          <w:lang w:val="fr-LU" w:eastAsia="fr-LU"/>
        </w:rPr>
        <w:t>50</w:t>
      </w:r>
      <w:r>
        <w:rPr>
          <w:rFonts w:ascii="Arial" w:hAnsi="Arial" w:cs="Arial"/>
          <w:sz w:val="22"/>
          <w:szCs w:val="22"/>
          <w:lang w:val="fr-LU" w:eastAsia="fr-LU"/>
        </w:rPr>
        <w:t>0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milli</w:t>
      </w:r>
      <w:r>
        <w:rPr>
          <w:rFonts w:ascii="Arial" w:hAnsi="Arial" w:cs="Arial"/>
          <w:sz w:val="22"/>
          <w:szCs w:val="22"/>
          <w:lang w:val="fr-LU" w:eastAsia="fr-LU"/>
        </w:rPr>
        <w:t>ards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d'</w:t>
      </w:r>
      <w:r>
        <w:rPr>
          <w:rFonts w:ascii="Arial" w:hAnsi="Arial" w:cs="Arial"/>
          <w:sz w:val="22"/>
          <w:szCs w:val="22"/>
          <w:lang w:val="fr-LU" w:eastAsia="fr-LU"/>
        </w:rPr>
        <w:t>euros</w:t>
      </w:r>
      <w:r w:rsidRPr="00C9208E">
        <w:rPr>
          <w:rFonts w:ascii="Arial" w:hAnsi="Arial" w:cs="Arial"/>
          <w:sz w:val="22"/>
          <w:szCs w:val="22"/>
          <w:lang w:val="fr-LU" w:eastAsia="fr-LU"/>
        </w:rPr>
        <w:t>. Les recettes totales effectives dépassent la prévision du budget voté de 96,10 millions d'</w:t>
      </w:r>
      <w:r>
        <w:rPr>
          <w:rFonts w:ascii="Arial" w:hAnsi="Arial" w:cs="Arial"/>
          <w:sz w:val="22"/>
          <w:szCs w:val="22"/>
          <w:lang w:val="fr-LU" w:eastAsia="fr-LU"/>
        </w:rPr>
        <w:t>euros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, soit un écart de 0,79%. </w:t>
      </w:r>
    </w:p>
    <w:p w:rsidR="00192291" w:rsidRDefault="00192291" w:rsidP="00192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192291" w:rsidRPr="00C9208E" w:rsidRDefault="00192291" w:rsidP="001922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fr-LU" w:eastAsia="fr-LU"/>
        </w:rPr>
      </w:pP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Au niveau des </w:t>
      </w:r>
      <w:r w:rsidRPr="0014665C">
        <w:rPr>
          <w:rFonts w:ascii="Arial" w:hAnsi="Arial" w:cs="Arial"/>
          <w:b/>
          <w:sz w:val="22"/>
          <w:szCs w:val="22"/>
          <w:lang w:val="fr-LU" w:eastAsia="fr-LU"/>
        </w:rPr>
        <w:t>recettes en capital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la plus-value se chiffre à 13,26 millions d'</w:t>
      </w:r>
      <w:r>
        <w:rPr>
          <w:rFonts w:ascii="Arial" w:hAnsi="Arial" w:cs="Arial"/>
          <w:sz w:val="22"/>
          <w:szCs w:val="22"/>
          <w:lang w:val="fr-LU" w:eastAsia="fr-LU"/>
        </w:rPr>
        <w:t>euros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provenant essentiellement des droits de succession. A noter que</w:t>
      </w:r>
      <w:r>
        <w:rPr>
          <w:rFonts w:ascii="Arial" w:hAnsi="Arial" w:cs="Arial"/>
          <w:sz w:val="22"/>
          <w:szCs w:val="22"/>
          <w:lang w:val="fr-LU" w:eastAsia="fr-LU"/>
        </w:rPr>
        <w:t>,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par rapport au compte général de l'exercice 2013, la progression des recettes courantes se chiffre à 771,21 millions d'</w:t>
      </w:r>
      <w:r>
        <w:rPr>
          <w:rFonts w:ascii="Arial" w:hAnsi="Arial" w:cs="Arial"/>
          <w:sz w:val="22"/>
          <w:szCs w:val="22"/>
          <w:lang w:val="fr-LU" w:eastAsia="fr-LU"/>
        </w:rPr>
        <w:t>euros,</w:t>
      </w:r>
      <w:r w:rsidRPr="00C9208E">
        <w:rPr>
          <w:rFonts w:ascii="Arial" w:hAnsi="Arial" w:cs="Arial"/>
          <w:sz w:val="22"/>
          <w:szCs w:val="22"/>
          <w:lang w:val="fr-LU" w:eastAsia="fr-LU"/>
        </w:rPr>
        <w:t xml:space="preserve"> ou +6,79%, ce qui est en ligne avec la progression </w:t>
      </w:r>
      <w:r>
        <w:rPr>
          <w:rFonts w:ascii="Arial" w:hAnsi="Arial" w:cs="Arial"/>
          <w:sz w:val="22"/>
          <w:szCs w:val="22"/>
          <w:lang w:val="fr-LU" w:eastAsia="fr-LU"/>
        </w:rPr>
        <w:t xml:space="preserve">pour la période </w:t>
      </w:r>
      <w:r w:rsidRPr="00C9208E">
        <w:rPr>
          <w:rFonts w:ascii="Arial" w:hAnsi="Arial" w:cs="Arial"/>
          <w:sz w:val="22"/>
          <w:szCs w:val="22"/>
          <w:lang w:val="fr-LU" w:eastAsia="fr-LU"/>
        </w:rPr>
        <w:t>2012-2013.</w:t>
      </w:r>
    </w:p>
    <w:p w:rsidR="00192291" w:rsidRDefault="00192291" w:rsidP="00192291">
      <w:pPr>
        <w:spacing w:line="276" w:lineRule="auto"/>
        <w:jc w:val="both"/>
        <w:rPr>
          <w:rFonts w:ascii="Arial" w:hAnsi="Arial" w:cs="Arial"/>
          <w:sz w:val="22"/>
          <w:szCs w:val="22"/>
          <w:lang w:val="fr-LU" w:eastAsia="fr-LU"/>
        </w:rPr>
      </w:pPr>
    </w:p>
    <w:p w:rsidR="00FF474F" w:rsidRPr="00C9208E" w:rsidRDefault="00BE564E" w:rsidP="00BE564E">
      <w:pPr>
        <w:spacing w:line="276" w:lineRule="auto"/>
        <w:jc w:val="center"/>
        <w:rPr>
          <w:rFonts w:ascii="Arial" w:hAnsi="Arial" w:cs="Arial"/>
          <w:sz w:val="22"/>
          <w:szCs w:val="22"/>
          <w:lang w:val="fr-LU" w:eastAsia="fr-LU"/>
        </w:rPr>
      </w:pPr>
      <w:r>
        <w:rPr>
          <w:rFonts w:ascii="Arial" w:hAnsi="Arial" w:cs="Arial"/>
          <w:sz w:val="22"/>
          <w:szCs w:val="22"/>
          <w:lang w:val="fr-LU" w:eastAsia="fr-LU"/>
        </w:rPr>
        <w:t>*</w:t>
      </w:r>
    </w:p>
    <w:sectPr w:rsidR="00FF474F" w:rsidRPr="00C9208E" w:rsidSect="00BA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291"/>
    <w:rsid w:val="000B47FA"/>
    <w:rsid w:val="00192291"/>
    <w:rsid w:val="001A632B"/>
    <w:rsid w:val="0038742D"/>
    <w:rsid w:val="00AD39DF"/>
    <w:rsid w:val="00B827DD"/>
    <w:rsid w:val="00BA739B"/>
    <w:rsid w:val="00BE564E"/>
    <w:rsid w:val="00F818EC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2D316F-C813-40CE-8957-B8DA69C3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291"/>
    <w:rPr>
      <w:rFonts w:ascii="Times New Roman" w:eastAsia="Times New Roman" w:hAnsi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92291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1texte">
    <w:name w:val="1texte"/>
    <w:basedOn w:val="Normal"/>
    <w:rsid w:val="00192291"/>
    <w:pPr>
      <w:spacing w:after="240" w:line="360" w:lineRule="auto"/>
      <w:ind w:left="1985" w:hanging="851"/>
      <w:jc w:val="both"/>
    </w:pPr>
    <w:rPr>
      <w:rFonts w:ascii="Garamond" w:hAnsi="Garamond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DP6838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6838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/sftpecos/Dossiers_parlementaires/6838/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7B46D898-751F-4513-92B0-DA545F1644C7}"/>
</file>

<file path=customXml/itemProps2.xml><?xml version="1.0" encoding="utf-8"?>
<ds:datastoreItem xmlns:ds="http://schemas.openxmlformats.org/officeDocument/2006/customXml" ds:itemID="{B128C91E-9537-4E18-82FB-CD4D64BD3868}"/>
</file>

<file path=customXml/itemProps3.xml><?xml version="1.0" encoding="utf-8"?>
<ds:datastoreItem xmlns:ds="http://schemas.openxmlformats.org/officeDocument/2006/customXml" ds:itemID="{31075FD5-85F9-4F85-BCD8-BFDCE834B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2870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Francine COCARD</dc:creator>
  <cp:keywords/>
  <dc:description/>
  <cp:lastModifiedBy>SYSTEM</cp:lastModifiedBy>
  <cp:revision>2</cp:revision>
  <dcterms:created xsi:type="dcterms:W3CDTF">2024-02-21T07:50:00Z</dcterms:created>
  <dcterms:modified xsi:type="dcterms:W3CDTF">2024-02-21T07:50:00Z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