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61" w:rsidRPr="004F1039" w:rsidRDefault="005708F2" w:rsidP="00E80E6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bookmarkStart w:id="0" w:name="_GoBack"/>
      <w:bookmarkEnd w:id="0"/>
      <w:r w:rsidRPr="004F1039">
        <w:rPr>
          <w:rFonts w:ascii="Arial" w:hAnsi="Arial" w:cs="Arial"/>
          <w:b/>
          <w:color w:val="auto"/>
          <w:sz w:val="22"/>
          <w:szCs w:val="22"/>
          <w:lang w:val="fr-FR"/>
        </w:rPr>
        <w:t>Proje</w:t>
      </w:r>
      <w:r w:rsidR="007025EF" w:rsidRPr="004F1039">
        <w:rPr>
          <w:rFonts w:ascii="Arial" w:hAnsi="Arial" w:cs="Arial"/>
          <w:b/>
          <w:color w:val="auto"/>
          <w:sz w:val="22"/>
          <w:szCs w:val="22"/>
          <w:lang w:val="fr-FR"/>
        </w:rPr>
        <w:t xml:space="preserve">t de loi </w:t>
      </w:r>
      <w:r w:rsidR="004F1039" w:rsidRPr="004F1039">
        <w:rPr>
          <w:rFonts w:ascii="Arial" w:hAnsi="Arial" w:cs="Arial"/>
          <w:b/>
          <w:color w:val="auto"/>
          <w:sz w:val="22"/>
          <w:szCs w:val="22"/>
          <w:lang w:val="fr-FR"/>
        </w:rPr>
        <w:t xml:space="preserve">6826 </w:t>
      </w:r>
      <w:r w:rsidR="00E80E61" w:rsidRPr="004F103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portant</w:t>
      </w:r>
    </w:p>
    <w:p w:rsidR="00E80E61" w:rsidRPr="00F60F7E" w:rsidRDefault="00E80E61" w:rsidP="004F1039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de la Convention entre le Grand-Duché de Luxembourg et la Principauté d'Andorre tendant à éviter les doubles impositions et à prévenir la fraude fiscale en matière d'impôts sur le revenu et sur la fortune, et du Protocole y relatif, signés à Luxembourg, le 2 juin 2014;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de la Convention entre le Grand-Duché de Luxembourg et la République de Croatie tendant à éviter les doubles impositions et à prévenir la fraude fiscale en matière d'impôts sur le revenu et sur la fortune, et du Protocole y relatif, signés à Luxembourg, le 20 juin 2014;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de la Convention entre le Grand-Duché de Luxembourg et la République d'Estonie tendant à éviter les doubles impositions et à prévenir la fraude fiscale en matière d'impôts sur le revenu et sur la fortune, et du Protocole y relatif, signés à Bruxelles, le 7 juillet 2014;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de la Convention entre le Gouvernement du Grand-Duché de Luxembourg et le Gouvernement de la République de Singapour tendant à éviter les doubles impositions et à prévenir la fraude fiscale en matière d'impôts sur le revenu et sur la fortune, et du Protocole y relatif, signés à Washington DC, le 9 octobre 2013;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du Protocole, signé à Abou Dhabi, le 26 octobre 2014, modifiant la Convention entre le Grand-Duché de Luxembourg et les Émirats Arabes Unis tendant à éviter les doubles impositions et à prévenir la fraude fiscale en matière d'impôts sur le revenu et sur la fortune, et du Protocole y relatif, signés à Dubaï, le 20 novembre 2005;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du quatrième Avenant, signé à Paris, le 5 septembre 2014, à la Convention entre le Grand-Duché de Luxembourg et la France tendant à éviter les doubles impositions et à établir des règles d'assistance administrative réciproque en matière d'impôts sur le revenu et sur la fortune signée à Paris le 1er avril 1958 modifiée par un Avenant signé à Paris le 8 septembre 1970, par un Avenant signé à Luxembourg le 24 novembre 2006 et par un Avenant signé à Paris, le 3 juin 2009;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du Protocole et l'échange de lettres y relatif, signés à Luxembourg, le 27 mai 2014, modifiant la Convention entre le Grand-Duché de Luxembourg et l'Irlande tendant à éviter les doubles impositions et à prévenir l'évasion fiscale en matière d'impôts sur le revenu et sur la fortune, signée à Luxembourg, le 14 janvier 1972;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>approbation du Protocole et du Protocole additionnel, signés à Luxembourg, le 20 juin 2014, modifiant la Convention entre le Gouvernement du Grand-Duché de Luxembourg et le Gouvernement de la République de Lituanie tendant à éviter les doubles impositions et à prévenir la fraude fiscale en matière d'impôts sur le revenu et sur la fortune, et du Protocole y relatif, signés à Bruxelles, le 22 novembre 2004;</w:t>
      </w:r>
    </w:p>
    <w:p w:rsidR="00E80E61" w:rsidRPr="00F60F7E" w:rsidRDefault="00E80E61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 xml:space="preserve">approbation du Protocole, signé à Bruxelles, le 28 janvier 2014, modifiant la Convention entre le Gouvernement du Grand-Duché de Luxembourg et le Gouvernement de la République de Maurice tendant à éviter les doubles impositions et à prévenir la fraude fiscale en matière d'impôts sur le revenu et sur la fortune, et du Protocole, signés à </w:t>
      </w:r>
      <w:r w:rsidRPr="00F60F7E">
        <w:rPr>
          <w:rFonts w:ascii="Arial" w:eastAsia="Times New Roman" w:hAnsi="Arial" w:cs="Arial"/>
          <w:b/>
        </w:rPr>
        <w:lastRenderedPageBreak/>
        <w:t>Luxembourg, le 15 février 1995;</w:t>
      </w:r>
    </w:p>
    <w:p w:rsidR="00E80E61" w:rsidRPr="00F60F7E" w:rsidRDefault="00D9246E" w:rsidP="00E80E61">
      <w:pPr>
        <w:pStyle w:val="Paragraphedelist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F60F7E">
        <w:rPr>
          <w:rFonts w:ascii="Arial" w:eastAsia="Times New Roman" w:hAnsi="Arial" w:cs="Arial"/>
          <w:b/>
        </w:rPr>
        <w:t xml:space="preserve"> </w:t>
      </w:r>
      <w:r w:rsidR="00E80E61" w:rsidRPr="00F60F7E">
        <w:rPr>
          <w:rFonts w:ascii="Arial" w:eastAsia="Times New Roman" w:hAnsi="Arial" w:cs="Arial"/>
          <w:b/>
        </w:rPr>
        <w:t>approbation du Protocole et l'échange de lettres y relatif, signés à Bruxelles, le 8 juillet 2014, modifiant la Convention entre le Grand-Duché de Luxembourg et la République Tunisienne tendant à éviter les doubles impositions et à prévenir l'évasion fiscale en matière d'impôts sur le revenu et sur la fortune, signée à Luxembourg, le 27 mars 1996</w:t>
      </w:r>
    </w:p>
    <w:p w:rsidR="006E1070" w:rsidRPr="004F1039" w:rsidRDefault="006E1070" w:rsidP="006E1070">
      <w:pPr>
        <w:rPr>
          <w:sz w:val="22"/>
          <w:szCs w:val="22"/>
          <w:lang w:val="fr-LU"/>
        </w:rPr>
      </w:pPr>
    </w:p>
    <w:p w:rsidR="005504C1" w:rsidRPr="00F60F7E" w:rsidRDefault="008C182F" w:rsidP="004F1039">
      <w:pPr>
        <w:tabs>
          <w:tab w:val="center" w:pos="4150"/>
          <w:tab w:val="left" w:pos="6075"/>
        </w:tabs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F60F7E">
        <w:rPr>
          <w:rFonts w:ascii="Arial" w:eastAsia="Times New Roman" w:hAnsi="Arial" w:cs="Arial"/>
          <w:sz w:val="22"/>
          <w:szCs w:val="22"/>
          <w:lang w:val="fr-FR"/>
        </w:rPr>
        <w:t>Le projet de loi sous rubrique</w:t>
      </w:r>
      <w:r w:rsidR="00A15226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 a </w:t>
      </w:r>
      <w:r w:rsidR="003B331A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comme objet </w:t>
      </w:r>
      <w:r w:rsidR="00A15226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d’approuver les Conventions fiscales avec l’Andorre, la Croatie, l’Estonie et Singapour, ainsi que les Protocoles et un Avenant modifiant les Conventions existantes avec les </w:t>
      </w:r>
      <w:r w:rsidR="006A6803" w:rsidRPr="00F60F7E">
        <w:rPr>
          <w:rFonts w:ascii="Arial" w:eastAsia="Times New Roman" w:hAnsi="Arial" w:cs="Arial"/>
          <w:sz w:val="22"/>
          <w:szCs w:val="22"/>
          <w:lang w:val="fr-FR"/>
        </w:rPr>
        <w:t>É</w:t>
      </w:r>
      <w:r w:rsidR="00A15226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mirats Arabes Unis, la France, l’Irlande, la Lituanie, Maurice et la Tunisie. </w:t>
      </w:r>
    </w:p>
    <w:p w:rsidR="004F1039" w:rsidRDefault="004F1039" w:rsidP="00C04D4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17798" w:rsidRPr="004F1039" w:rsidRDefault="003B331A" w:rsidP="00C04D4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4F1039">
        <w:rPr>
          <w:rFonts w:ascii="Arial" w:hAnsi="Arial" w:cs="Arial"/>
          <w:sz w:val="22"/>
          <w:szCs w:val="22"/>
          <w:lang w:val="fr-FR"/>
        </w:rPr>
        <w:t xml:space="preserve">Il fait ainsi partie des efforts de la part du </w:t>
      </w:r>
      <w:r w:rsidR="00AA3C60" w:rsidRPr="004F1039">
        <w:rPr>
          <w:rFonts w:ascii="Arial" w:hAnsi="Arial" w:cs="Arial"/>
          <w:sz w:val="22"/>
          <w:szCs w:val="22"/>
          <w:lang w:val="fr-FR"/>
        </w:rPr>
        <w:t>g</w:t>
      </w:r>
      <w:r w:rsidRPr="004F1039">
        <w:rPr>
          <w:rFonts w:ascii="Arial" w:hAnsi="Arial" w:cs="Arial"/>
          <w:sz w:val="22"/>
          <w:szCs w:val="22"/>
          <w:lang w:val="fr-FR"/>
        </w:rPr>
        <w:t xml:space="preserve">ouvernement </w:t>
      </w:r>
      <w:r w:rsidR="00D9246E" w:rsidRPr="004F1039">
        <w:rPr>
          <w:rFonts w:ascii="Arial" w:hAnsi="Arial" w:cs="Arial"/>
          <w:sz w:val="22"/>
          <w:szCs w:val="22"/>
          <w:lang w:val="fr-FR"/>
        </w:rPr>
        <w:t>pour</w:t>
      </w:r>
      <w:r w:rsidRPr="004F1039">
        <w:rPr>
          <w:rFonts w:ascii="Arial" w:hAnsi="Arial" w:cs="Arial"/>
          <w:sz w:val="22"/>
          <w:szCs w:val="22"/>
          <w:lang w:val="fr-FR"/>
        </w:rPr>
        <w:t xml:space="preserve"> consolider la place financière du pays “</w:t>
      </w:r>
      <w:r w:rsidR="00A15226" w:rsidRPr="004F1039">
        <w:rPr>
          <w:rFonts w:ascii="Arial" w:hAnsi="Arial" w:cs="Arial"/>
          <w:sz w:val="22"/>
          <w:szCs w:val="22"/>
          <w:lang w:val="fr-FR"/>
        </w:rPr>
        <w:t>en continuant à</w:t>
      </w:r>
      <w:r w:rsidR="00D9246E" w:rsidRPr="004F1039">
        <w:rPr>
          <w:rFonts w:ascii="Arial" w:hAnsi="Arial" w:cs="Arial"/>
          <w:sz w:val="22"/>
          <w:szCs w:val="22"/>
          <w:lang w:val="fr-FR"/>
        </w:rPr>
        <w:t xml:space="preserve"> </w:t>
      </w:r>
      <w:r w:rsidR="00A15226" w:rsidRPr="004F1039">
        <w:rPr>
          <w:rFonts w:ascii="Arial" w:hAnsi="Arial" w:cs="Arial"/>
          <w:sz w:val="22"/>
          <w:szCs w:val="22"/>
          <w:lang w:val="fr-FR"/>
        </w:rPr>
        <w:t>élargir son réseau de traités de non-double imposition</w:t>
      </w:r>
      <w:r w:rsidRPr="004F1039">
        <w:rPr>
          <w:rFonts w:ascii="Arial" w:hAnsi="Arial" w:cs="Arial"/>
          <w:sz w:val="22"/>
          <w:szCs w:val="22"/>
          <w:lang w:val="fr-FR"/>
        </w:rPr>
        <w:t xml:space="preserve">”, comme le souligne le programme gouvernemental. A part l’addition de </w:t>
      </w:r>
      <w:r w:rsidR="00894D72" w:rsidRPr="004F1039">
        <w:rPr>
          <w:rFonts w:ascii="Arial" w:hAnsi="Arial" w:cs="Arial"/>
          <w:sz w:val="22"/>
          <w:szCs w:val="22"/>
          <w:lang w:val="fr-FR"/>
        </w:rPr>
        <w:t xml:space="preserve">quatre </w:t>
      </w:r>
      <w:r w:rsidRPr="004F1039">
        <w:rPr>
          <w:rFonts w:ascii="Arial" w:hAnsi="Arial" w:cs="Arial"/>
          <w:sz w:val="22"/>
          <w:szCs w:val="22"/>
          <w:lang w:val="fr-FR"/>
        </w:rPr>
        <w:t>nouvelles conventions</w:t>
      </w:r>
      <w:r w:rsidR="00822A1E" w:rsidRPr="004F1039">
        <w:rPr>
          <w:rFonts w:ascii="Arial" w:hAnsi="Arial" w:cs="Arial"/>
          <w:sz w:val="22"/>
          <w:szCs w:val="22"/>
          <w:lang w:val="fr-FR"/>
        </w:rPr>
        <w:t xml:space="preserve"> </w:t>
      </w:r>
      <w:r w:rsidR="00894D72" w:rsidRPr="004F1039">
        <w:rPr>
          <w:rFonts w:ascii="Arial" w:hAnsi="Arial" w:cs="Arial"/>
          <w:sz w:val="22"/>
          <w:szCs w:val="22"/>
          <w:lang w:val="fr-FR"/>
        </w:rPr>
        <w:t>bilatérales (</w:t>
      </w:r>
      <w:r w:rsidR="00894D72" w:rsidRPr="00F60F7E">
        <w:rPr>
          <w:rFonts w:ascii="Arial" w:eastAsia="Times New Roman" w:hAnsi="Arial" w:cs="Arial"/>
          <w:color w:val="000000"/>
          <w:sz w:val="22"/>
          <w:szCs w:val="22"/>
          <w:lang w:val="fr-FR"/>
        </w:rPr>
        <w:t>Andorre, Croatie, Estonie et Singapour)</w:t>
      </w:r>
      <w:r w:rsidRPr="004F1039">
        <w:rPr>
          <w:rFonts w:ascii="Arial" w:hAnsi="Arial" w:cs="Arial"/>
          <w:sz w:val="22"/>
          <w:szCs w:val="22"/>
          <w:lang w:val="fr-FR"/>
        </w:rPr>
        <w:t>, il a également comme objet d’actualiser un certain nombre de conventions déjà en vigueur</w:t>
      </w:r>
      <w:r w:rsidR="00894D72" w:rsidRPr="004F1039">
        <w:rPr>
          <w:rFonts w:ascii="Arial" w:hAnsi="Arial" w:cs="Arial"/>
          <w:sz w:val="22"/>
          <w:szCs w:val="22"/>
          <w:lang w:val="fr-FR"/>
        </w:rPr>
        <w:t xml:space="preserve">, par avenant en cas de la France, et par cinq protocoles d’accord </w:t>
      </w:r>
      <w:r w:rsidR="004F1039" w:rsidRPr="00F60F7E">
        <w:rPr>
          <w:rFonts w:ascii="Arial" w:eastAsia="Times New Roman" w:hAnsi="Arial" w:cs="Arial"/>
          <w:color w:val="000000"/>
          <w:sz w:val="22"/>
          <w:szCs w:val="22"/>
          <w:lang w:val="fr-FR"/>
        </w:rPr>
        <w:t>visant à modi</w:t>
      </w:r>
      <w:r w:rsidR="00894D72" w:rsidRPr="00F60F7E">
        <w:rPr>
          <w:rFonts w:ascii="Arial" w:eastAsia="Times New Roman" w:hAnsi="Arial" w:cs="Arial"/>
          <w:color w:val="000000"/>
          <w:sz w:val="22"/>
          <w:szCs w:val="22"/>
          <w:lang w:val="fr-FR"/>
        </w:rPr>
        <w:t>fier des conventions existantes (</w:t>
      </w:r>
      <w:r w:rsidR="006A6803" w:rsidRPr="00F60F7E">
        <w:rPr>
          <w:rFonts w:ascii="Arial" w:eastAsia="Times New Roman" w:hAnsi="Arial" w:cs="Arial"/>
          <w:color w:val="000000"/>
          <w:sz w:val="22"/>
          <w:szCs w:val="22"/>
          <w:lang w:val="fr-FR"/>
        </w:rPr>
        <w:t>É</w:t>
      </w:r>
      <w:r w:rsidR="00894D72" w:rsidRPr="00F60F7E">
        <w:rPr>
          <w:rFonts w:ascii="Arial" w:eastAsia="Times New Roman" w:hAnsi="Arial" w:cs="Arial"/>
          <w:color w:val="000000"/>
          <w:sz w:val="22"/>
          <w:szCs w:val="22"/>
          <w:lang w:val="fr-FR"/>
        </w:rPr>
        <w:t>mirats Arabes Unis, Irlande, Lituanie, Maurice, Tunisie).</w:t>
      </w:r>
      <w:r w:rsidR="00822A1E" w:rsidRPr="00F60F7E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 </w:t>
      </w:r>
      <w:r w:rsidR="00E17798" w:rsidRPr="004F1039">
        <w:rPr>
          <w:rFonts w:ascii="Arial" w:hAnsi="Arial" w:cs="Arial"/>
          <w:sz w:val="22"/>
          <w:szCs w:val="22"/>
          <w:lang w:val="fr-FR"/>
        </w:rPr>
        <w:t xml:space="preserve">Dans ce contexte, il convient de préciser que les conventions avec Andorre, </w:t>
      </w:r>
      <w:r w:rsidR="00F31F86" w:rsidRPr="004F1039">
        <w:rPr>
          <w:rFonts w:ascii="Arial" w:hAnsi="Arial" w:cs="Arial"/>
          <w:sz w:val="22"/>
          <w:szCs w:val="22"/>
          <w:lang w:val="fr-FR"/>
        </w:rPr>
        <w:t xml:space="preserve">la Croatie, </w:t>
      </w:r>
      <w:r w:rsidR="00E17798" w:rsidRPr="004F1039">
        <w:rPr>
          <w:rFonts w:ascii="Arial" w:hAnsi="Arial" w:cs="Arial"/>
          <w:sz w:val="22"/>
          <w:szCs w:val="22"/>
          <w:lang w:val="fr-FR"/>
        </w:rPr>
        <w:t xml:space="preserve">l’Estonie et Singapour couvrent désormais également les fonds d’investissement. </w:t>
      </w:r>
      <w:r w:rsidRPr="004F1039">
        <w:rPr>
          <w:rFonts w:ascii="Arial" w:hAnsi="Arial" w:cs="Arial"/>
          <w:sz w:val="22"/>
          <w:szCs w:val="22"/>
          <w:lang w:val="fr-FR"/>
        </w:rPr>
        <w:t xml:space="preserve">Toujours est-il que ces conventions sont essentielles dans </w:t>
      </w:r>
      <w:r w:rsidR="00A15226" w:rsidRPr="004F1039">
        <w:rPr>
          <w:rFonts w:ascii="Arial" w:hAnsi="Arial" w:cs="Arial"/>
          <w:sz w:val="22"/>
          <w:szCs w:val="22"/>
          <w:lang w:val="fr-FR"/>
        </w:rPr>
        <w:t xml:space="preserve">l’élimination de la double imposition juridique et </w:t>
      </w:r>
      <w:r w:rsidRPr="004F1039">
        <w:rPr>
          <w:rFonts w:ascii="Arial" w:hAnsi="Arial" w:cs="Arial"/>
          <w:sz w:val="22"/>
          <w:szCs w:val="22"/>
          <w:lang w:val="fr-FR"/>
        </w:rPr>
        <w:t>sont</w:t>
      </w:r>
      <w:r w:rsidR="00A15226" w:rsidRPr="004F1039">
        <w:rPr>
          <w:rFonts w:ascii="Arial" w:hAnsi="Arial" w:cs="Arial"/>
          <w:sz w:val="22"/>
          <w:szCs w:val="22"/>
          <w:lang w:val="fr-FR"/>
        </w:rPr>
        <w:t xml:space="preserve"> indispensable</w:t>
      </w:r>
      <w:r w:rsidRPr="004F1039">
        <w:rPr>
          <w:rFonts w:ascii="Arial" w:hAnsi="Arial" w:cs="Arial"/>
          <w:sz w:val="22"/>
          <w:szCs w:val="22"/>
          <w:lang w:val="fr-FR"/>
        </w:rPr>
        <w:t>s</w:t>
      </w:r>
      <w:r w:rsidR="00A15226" w:rsidRPr="004F1039">
        <w:rPr>
          <w:rFonts w:ascii="Arial" w:hAnsi="Arial" w:cs="Arial"/>
          <w:sz w:val="22"/>
          <w:szCs w:val="22"/>
          <w:lang w:val="fr-FR"/>
        </w:rPr>
        <w:t xml:space="preserve"> au bon développement des relations économi</w:t>
      </w:r>
      <w:r w:rsidRPr="004F1039">
        <w:rPr>
          <w:rFonts w:ascii="Arial" w:hAnsi="Arial" w:cs="Arial"/>
          <w:sz w:val="22"/>
          <w:szCs w:val="22"/>
          <w:lang w:val="fr-FR"/>
        </w:rPr>
        <w:t>ques bilaté</w:t>
      </w:r>
      <w:r w:rsidR="00A15226" w:rsidRPr="004F1039">
        <w:rPr>
          <w:rFonts w:ascii="Arial" w:hAnsi="Arial" w:cs="Arial"/>
          <w:sz w:val="22"/>
          <w:szCs w:val="22"/>
          <w:lang w:val="fr-FR"/>
        </w:rPr>
        <w:t>rales</w:t>
      </w:r>
      <w:r w:rsidR="00E17798" w:rsidRPr="004F1039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894D72" w:rsidRPr="004F1039" w:rsidRDefault="00894D72" w:rsidP="00894D72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C04D46" w:rsidRPr="004F1039" w:rsidRDefault="00C04D46" w:rsidP="00C04D4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4F1039">
        <w:rPr>
          <w:rFonts w:ascii="Arial" w:hAnsi="Arial" w:cs="Arial"/>
          <w:sz w:val="22"/>
          <w:szCs w:val="22"/>
          <w:lang w:val="fr-FR"/>
        </w:rPr>
        <w:t xml:space="preserve">Pour ce qui est de la convention avec la France, un nouveau paragraphe 4 a été ajouté à l’article 3 de la convention existante, d’après lequel les gains tirés de l’aliénation d’actions, parts ou droits de sociétés à prépondérance immobilière sont imposables dans l’État de la source, donc de la situation de l’immeuble. </w:t>
      </w:r>
    </w:p>
    <w:p w:rsidR="00C04D46" w:rsidRPr="004F1039" w:rsidRDefault="00C04D46" w:rsidP="00C04D4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53D9F" w:rsidRPr="004F1039" w:rsidRDefault="00C04D46" w:rsidP="00C04D4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4F1039">
        <w:rPr>
          <w:rFonts w:ascii="Arial" w:hAnsi="Arial" w:cs="Arial"/>
          <w:sz w:val="22"/>
          <w:szCs w:val="22"/>
          <w:lang w:val="fr-FR"/>
        </w:rPr>
        <w:t xml:space="preserve">En dehors de l’avenant à la convention avec la France et relatif à l’imposition des gains provenant d’actions de sociétés à prépondérance immobilière, les conventions et protocoles à approuver reprennent, en ce qui concerne l’échange de renseignements en matière fiscale, les dispositions du modèle </w:t>
      </w:r>
      <w:r w:rsidR="00BF3235" w:rsidRPr="004F1039">
        <w:rPr>
          <w:rFonts w:ascii="Arial" w:hAnsi="Arial" w:cs="Arial"/>
          <w:sz w:val="22"/>
          <w:szCs w:val="22"/>
          <w:lang w:val="fr-FR"/>
        </w:rPr>
        <w:t>de l’</w:t>
      </w:r>
      <w:r w:rsidRPr="004F1039">
        <w:rPr>
          <w:rFonts w:ascii="Arial" w:hAnsi="Arial" w:cs="Arial"/>
          <w:sz w:val="22"/>
          <w:szCs w:val="22"/>
          <w:lang w:val="fr-FR"/>
        </w:rPr>
        <w:t>OCDE</w:t>
      </w:r>
      <w:r w:rsidR="00822A1E" w:rsidRPr="004F1039">
        <w:rPr>
          <w:rFonts w:ascii="Arial" w:hAnsi="Arial" w:cs="Arial"/>
          <w:sz w:val="22"/>
          <w:szCs w:val="22"/>
          <w:lang w:val="fr-FR"/>
        </w:rPr>
        <w:t xml:space="preserve"> </w:t>
      </w:r>
      <w:r w:rsidR="00894D72" w:rsidRPr="00F60F7E">
        <w:rPr>
          <w:rFonts w:ascii="Arial" w:eastAsia="Times New Roman" w:hAnsi="Arial" w:cs="Arial"/>
          <w:sz w:val="22"/>
          <w:szCs w:val="22"/>
          <w:lang w:val="fr-FR"/>
        </w:rPr>
        <w:t>de Convention fiscale concernant le revenu et la fortune</w:t>
      </w:r>
      <w:r w:rsidR="00BF3235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. </w:t>
      </w:r>
      <w:r w:rsidR="006A6803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Par ailleurs, ce modèle </w:t>
      </w:r>
      <w:r w:rsidR="00894D72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 permet de régler uniformément les problèmes qui se posent le plus couramment dans le domaine de la double imposition juridique internationale.</w:t>
      </w:r>
      <w:r w:rsidR="00BF3235" w:rsidRPr="00F60F7E">
        <w:rPr>
          <w:rFonts w:ascii="Arial" w:eastAsia="Times New Roman" w:hAnsi="Arial" w:cs="Arial"/>
          <w:sz w:val="22"/>
          <w:szCs w:val="22"/>
          <w:lang w:val="fr-FR"/>
        </w:rPr>
        <w:t xml:space="preserve"> Plus précisément</w:t>
      </w:r>
      <w:r w:rsidR="00BF3235" w:rsidRPr="00F60F7E">
        <w:rPr>
          <w:rFonts w:ascii="Arial" w:eastAsia="Times New Roman" w:hAnsi="Arial" w:cs="Arial"/>
          <w:color w:val="262626"/>
          <w:sz w:val="22"/>
          <w:szCs w:val="22"/>
          <w:lang w:val="fr-FR"/>
        </w:rPr>
        <w:t>,</w:t>
      </w:r>
      <w:r w:rsidR="00BF3235" w:rsidRPr="004F1039">
        <w:rPr>
          <w:rFonts w:ascii="Arial" w:hAnsi="Arial" w:cs="Arial"/>
          <w:sz w:val="22"/>
          <w:szCs w:val="22"/>
          <w:lang w:val="fr-FR"/>
        </w:rPr>
        <w:t xml:space="preserve"> c</w:t>
      </w:r>
      <w:r w:rsidR="00E53D9F" w:rsidRPr="004F1039">
        <w:rPr>
          <w:rFonts w:ascii="Arial" w:hAnsi="Arial" w:cs="Arial"/>
          <w:sz w:val="22"/>
          <w:szCs w:val="22"/>
          <w:lang w:val="fr-FR"/>
        </w:rPr>
        <w:t>ette méthode consiste à exonérer de l’impôt luxembourgeois les revenus et la fortune imposables dans le pays avec lequel est conclu</w:t>
      </w:r>
      <w:r w:rsidR="006A6803" w:rsidRPr="004F1039">
        <w:rPr>
          <w:rFonts w:ascii="Arial" w:hAnsi="Arial" w:cs="Arial"/>
          <w:sz w:val="22"/>
          <w:szCs w:val="22"/>
          <w:lang w:val="fr-FR"/>
        </w:rPr>
        <w:t>e</w:t>
      </w:r>
      <w:r w:rsidR="00E53D9F" w:rsidRPr="004F1039">
        <w:rPr>
          <w:rFonts w:ascii="Arial" w:hAnsi="Arial" w:cs="Arial"/>
          <w:sz w:val="22"/>
          <w:szCs w:val="22"/>
          <w:lang w:val="fr-FR"/>
        </w:rPr>
        <w:t xml:space="preserve"> la convention, mais à en tenir compte pour calculer le taux d’impôt applicable aux revenus et à la fortune qui sont imposables au Luxembourg. </w:t>
      </w:r>
    </w:p>
    <w:p w:rsidR="00C04D46" w:rsidRPr="004F1039" w:rsidRDefault="00C04D46" w:rsidP="00C04D4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53D9F" w:rsidRPr="00F60F7E" w:rsidRDefault="00E53D9F" w:rsidP="00C04D4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F60F7E">
        <w:rPr>
          <w:rFonts w:ascii="Arial" w:eastAsia="Times New Roman" w:hAnsi="Arial" w:cs="Arial"/>
          <w:sz w:val="22"/>
          <w:szCs w:val="22"/>
          <w:lang w:val="fr-FR"/>
        </w:rPr>
        <w:t>Toutes les conventions prévoient également une disposition proposée par l’OCDE, qui a pour objet d’éviter l’absence d’imposition qui résulterait de désaccords entre l’</w:t>
      </w:r>
      <w:r w:rsidR="006A6803" w:rsidRPr="00F60F7E">
        <w:rPr>
          <w:rFonts w:ascii="Arial" w:eastAsia="Times New Roman" w:hAnsi="Arial" w:cs="Arial"/>
          <w:sz w:val="22"/>
          <w:szCs w:val="22"/>
          <w:lang w:val="fr-FR"/>
        </w:rPr>
        <w:t>É</w:t>
      </w:r>
      <w:r w:rsidRPr="00F60F7E">
        <w:rPr>
          <w:rFonts w:ascii="Arial" w:eastAsia="Times New Roman" w:hAnsi="Arial" w:cs="Arial"/>
          <w:sz w:val="22"/>
          <w:szCs w:val="22"/>
          <w:lang w:val="fr-FR"/>
        </w:rPr>
        <w:t>tat de résidence et l’</w:t>
      </w:r>
      <w:r w:rsidR="006A6803" w:rsidRPr="00F60F7E">
        <w:rPr>
          <w:rFonts w:ascii="Arial" w:eastAsia="Times New Roman" w:hAnsi="Arial" w:cs="Arial"/>
          <w:sz w:val="22"/>
          <w:szCs w:val="22"/>
          <w:lang w:val="fr-FR"/>
        </w:rPr>
        <w:t>É</w:t>
      </w:r>
      <w:r w:rsidRPr="00F60F7E">
        <w:rPr>
          <w:rFonts w:ascii="Arial" w:eastAsia="Times New Roman" w:hAnsi="Arial" w:cs="Arial"/>
          <w:sz w:val="22"/>
          <w:szCs w:val="22"/>
          <w:lang w:val="fr-FR"/>
        </w:rPr>
        <w:t>tat de la source sur les faits d’un cas spécifique ou sur l’interprétation des dispositions de la convention. Cette disposition permet ainsi d’éviter une double exonération.</w:t>
      </w:r>
    </w:p>
    <w:sectPr w:rsidR="00E53D9F" w:rsidRPr="00F60F7E" w:rsidSect="004F1039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24" w:rsidRDefault="00065B24" w:rsidP="00B775CB">
      <w:r>
        <w:separator/>
      </w:r>
    </w:p>
  </w:endnote>
  <w:endnote w:type="continuationSeparator" w:id="0">
    <w:p w:rsidR="00065B24" w:rsidRDefault="00065B24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24" w:rsidRDefault="00065B24" w:rsidP="00B775CB">
      <w:r>
        <w:separator/>
      </w:r>
    </w:p>
  </w:footnote>
  <w:footnote w:type="continuationSeparator" w:id="0">
    <w:p w:rsidR="00065B24" w:rsidRDefault="00065B24" w:rsidP="00B7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02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97402D"/>
    <w:multiLevelType w:val="multilevel"/>
    <w:tmpl w:val="926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42979"/>
    <w:multiLevelType w:val="hybridMultilevel"/>
    <w:tmpl w:val="6C66E97E"/>
    <w:lvl w:ilvl="0" w:tplc="39B05E12">
      <w:start w:val="7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B1F3967"/>
    <w:multiLevelType w:val="multilevel"/>
    <w:tmpl w:val="A4E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A22A9"/>
    <w:multiLevelType w:val="hybridMultilevel"/>
    <w:tmpl w:val="EB18A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245FD6"/>
    <w:multiLevelType w:val="hybridMultilevel"/>
    <w:tmpl w:val="E6B0B574"/>
    <w:lvl w:ilvl="0" w:tplc="4222623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25F01442"/>
    <w:multiLevelType w:val="hybridMultilevel"/>
    <w:tmpl w:val="99EC6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6CE1"/>
    <w:multiLevelType w:val="hybridMultilevel"/>
    <w:tmpl w:val="77E85CC6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5DC2"/>
    <w:multiLevelType w:val="hybridMultilevel"/>
    <w:tmpl w:val="205AA3CA"/>
    <w:lvl w:ilvl="0" w:tplc="BA725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61F9"/>
    <w:multiLevelType w:val="hybridMultilevel"/>
    <w:tmpl w:val="ED2C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57CB"/>
    <w:multiLevelType w:val="hybridMultilevel"/>
    <w:tmpl w:val="55CAB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7DB6"/>
    <w:multiLevelType w:val="hybridMultilevel"/>
    <w:tmpl w:val="000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5AFA"/>
    <w:multiLevelType w:val="hybridMultilevel"/>
    <w:tmpl w:val="E40A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75E37"/>
    <w:multiLevelType w:val="hybridMultilevel"/>
    <w:tmpl w:val="4630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4CD1"/>
    <w:multiLevelType w:val="hybridMultilevel"/>
    <w:tmpl w:val="410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0177E"/>
    <w:multiLevelType w:val="hybridMultilevel"/>
    <w:tmpl w:val="DBEED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6268"/>
    <w:multiLevelType w:val="hybridMultilevel"/>
    <w:tmpl w:val="F3FA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DB"/>
    <w:multiLevelType w:val="hybridMultilevel"/>
    <w:tmpl w:val="5E3A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67C04"/>
    <w:multiLevelType w:val="hybridMultilevel"/>
    <w:tmpl w:val="E8B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47F56"/>
    <w:multiLevelType w:val="hybridMultilevel"/>
    <w:tmpl w:val="A096039A"/>
    <w:lvl w:ilvl="0" w:tplc="6562EE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140" w:hanging="360"/>
      </w:pPr>
    </w:lvl>
    <w:lvl w:ilvl="2" w:tplc="140C001B" w:tentative="1">
      <w:start w:val="1"/>
      <w:numFmt w:val="lowerRoman"/>
      <w:lvlText w:val="%3."/>
      <w:lvlJc w:val="right"/>
      <w:pPr>
        <w:ind w:left="1860" w:hanging="180"/>
      </w:pPr>
    </w:lvl>
    <w:lvl w:ilvl="3" w:tplc="140C000F" w:tentative="1">
      <w:start w:val="1"/>
      <w:numFmt w:val="decimal"/>
      <w:lvlText w:val="%4."/>
      <w:lvlJc w:val="left"/>
      <w:pPr>
        <w:ind w:left="2580" w:hanging="360"/>
      </w:pPr>
    </w:lvl>
    <w:lvl w:ilvl="4" w:tplc="140C0019" w:tentative="1">
      <w:start w:val="1"/>
      <w:numFmt w:val="lowerLetter"/>
      <w:lvlText w:val="%5."/>
      <w:lvlJc w:val="left"/>
      <w:pPr>
        <w:ind w:left="3300" w:hanging="360"/>
      </w:pPr>
    </w:lvl>
    <w:lvl w:ilvl="5" w:tplc="140C001B" w:tentative="1">
      <w:start w:val="1"/>
      <w:numFmt w:val="lowerRoman"/>
      <w:lvlText w:val="%6."/>
      <w:lvlJc w:val="right"/>
      <w:pPr>
        <w:ind w:left="4020" w:hanging="180"/>
      </w:pPr>
    </w:lvl>
    <w:lvl w:ilvl="6" w:tplc="140C000F" w:tentative="1">
      <w:start w:val="1"/>
      <w:numFmt w:val="decimal"/>
      <w:lvlText w:val="%7."/>
      <w:lvlJc w:val="left"/>
      <w:pPr>
        <w:ind w:left="4740" w:hanging="360"/>
      </w:pPr>
    </w:lvl>
    <w:lvl w:ilvl="7" w:tplc="140C0019" w:tentative="1">
      <w:start w:val="1"/>
      <w:numFmt w:val="lowerLetter"/>
      <w:lvlText w:val="%8."/>
      <w:lvlJc w:val="left"/>
      <w:pPr>
        <w:ind w:left="5460" w:hanging="360"/>
      </w:pPr>
    </w:lvl>
    <w:lvl w:ilvl="8" w:tplc="1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B0307DA"/>
    <w:multiLevelType w:val="hybridMultilevel"/>
    <w:tmpl w:val="D6D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22967"/>
    <w:multiLevelType w:val="hybridMultilevel"/>
    <w:tmpl w:val="34EC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36C1E"/>
    <w:multiLevelType w:val="hybridMultilevel"/>
    <w:tmpl w:val="FF725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6DDE"/>
    <w:multiLevelType w:val="hybridMultilevel"/>
    <w:tmpl w:val="5FF0FD1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F1585"/>
    <w:multiLevelType w:val="multilevel"/>
    <w:tmpl w:val="9BF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04165"/>
    <w:multiLevelType w:val="hybridMultilevel"/>
    <w:tmpl w:val="CAE8A2C8"/>
    <w:lvl w:ilvl="0" w:tplc="12F6E61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E58E4"/>
    <w:multiLevelType w:val="hybridMultilevel"/>
    <w:tmpl w:val="CE02A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C03B49"/>
    <w:multiLevelType w:val="hybridMultilevel"/>
    <w:tmpl w:val="3674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2205B"/>
    <w:multiLevelType w:val="hybridMultilevel"/>
    <w:tmpl w:val="7D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5DC8183B"/>
    <w:multiLevelType w:val="multilevel"/>
    <w:tmpl w:val="9A80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4E4AD6"/>
    <w:multiLevelType w:val="multilevel"/>
    <w:tmpl w:val="7C70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B67800"/>
    <w:multiLevelType w:val="hybridMultilevel"/>
    <w:tmpl w:val="E9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FE0D38"/>
    <w:multiLevelType w:val="hybridMultilevel"/>
    <w:tmpl w:val="A18056E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1" w15:restartNumberingAfterBreak="0">
    <w:nsid w:val="7839771F"/>
    <w:multiLevelType w:val="hybridMultilevel"/>
    <w:tmpl w:val="48C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7165B"/>
    <w:multiLevelType w:val="hybridMultilevel"/>
    <w:tmpl w:val="A18056E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3" w15:restartNumberingAfterBreak="0">
    <w:nsid w:val="7C8834CD"/>
    <w:multiLevelType w:val="hybridMultilevel"/>
    <w:tmpl w:val="9A7CF7A2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38"/>
  </w:num>
  <w:num w:numId="4">
    <w:abstractNumId w:val="34"/>
  </w:num>
  <w:num w:numId="5">
    <w:abstractNumId w:val="7"/>
  </w:num>
  <w:num w:numId="6">
    <w:abstractNumId w:val="31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41"/>
  </w:num>
  <w:num w:numId="12">
    <w:abstractNumId w:val="12"/>
  </w:num>
  <w:num w:numId="13">
    <w:abstractNumId w:val="8"/>
  </w:num>
  <w:num w:numId="14">
    <w:abstractNumId w:val="27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30"/>
  </w:num>
  <w:num w:numId="20">
    <w:abstractNumId w:val="18"/>
  </w:num>
  <w:num w:numId="21">
    <w:abstractNumId w:val="32"/>
  </w:num>
  <w:num w:numId="22">
    <w:abstractNumId w:val="26"/>
  </w:num>
  <w:num w:numId="23">
    <w:abstractNumId w:val="23"/>
  </w:num>
  <w:num w:numId="24">
    <w:abstractNumId w:val="22"/>
  </w:num>
  <w:num w:numId="25">
    <w:abstractNumId w:val="33"/>
  </w:num>
  <w:num w:numId="26">
    <w:abstractNumId w:val="37"/>
  </w:num>
  <w:num w:numId="27">
    <w:abstractNumId w:val="17"/>
  </w:num>
  <w:num w:numId="28">
    <w:abstractNumId w:val="10"/>
  </w:num>
  <w:num w:numId="29">
    <w:abstractNumId w:val="15"/>
  </w:num>
  <w:num w:numId="30">
    <w:abstractNumId w:val="16"/>
  </w:num>
  <w:num w:numId="31">
    <w:abstractNumId w:val="14"/>
  </w:num>
  <w:num w:numId="32">
    <w:abstractNumId w:val="24"/>
  </w:num>
  <w:num w:numId="33">
    <w:abstractNumId w:val="11"/>
  </w:num>
  <w:num w:numId="34">
    <w:abstractNumId w:val="42"/>
  </w:num>
  <w:num w:numId="35">
    <w:abstractNumId w:val="28"/>
  </w:num>
  <w:num w:numId="36">
    <w:abstractNumId w:val="35"/>
  </w:num>
  <w:num w:numId="37">
    <w:abstractNumId w:val="5"/>
  </w:num>
  <w:num w:numId="38">
    <w:abstractNumId w:val="36"/>
  </w:num>
  <w:num w:numId="39">
    <w:abstractNumId w:val="3"/>
  </w:num>
  <w:num w:numId="40">
    <w:abstractNumId w:val="25"/>
  </w:num>
  <w:num w:numId="41">
    <w:abstractNumId w:val="40"/>
  </w:num>
  <w:num w:numId="42">
    <w:abstractNumId w:val="29"/>
  </w:num>
  <w:num w:numId="43">
    <w:abstractNumId w:val="4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C0B"/>
    <w:rsid w:val="00021B3F"/>
    <w:rsid w:val="00034F86"/>
    <w:rsid w:val="00057336"/>
    <w:rsid w:val="000651DE"/>
    <w:rsid w:val="00065B24"/>
    <w:rsid w:val="00066E7E"/>
    <w:rsid w:val="00066EFA"/>
    <w:rsid w:val="00086E6E"/>
    <w:rsid w:val="000A6058"/>
    <w:rsid w:val="000A7329"/>
    <w:rsid w:val="000B3A5E"/>
    <w:rsid w:val="000B7AAD"/>
    <w:rsid w:val="000C1F1D"/>
    <w:rsid w:val="000D290D"/>
    <w:rsid w:val="000D71CF"/>
    <w:rsid w:val="000D7F54"/>
    <w:rsid w:val="000F1D01"/>
    <w:rsid w:val="0010469C"/>
    <w:rsid w:val="001139A0"/>
    <w:rsid w:val="00115785"/>
    <w:rsid w:val="00124842"/>
    <w:rsid w:val="0012765F"/>
    <w:rsid w:val="001443ED"/>
    <w:rsid w:val="00146F95"/>
    <w:rsid w:val="00147D10"/>
    <w:rsid w:val="001536B4"/>
    <w:rsid w:val="001554F2"/>
    <w:rsid w:val="00164CD4"/>
    <w:rsid w:val="001717BD"/>
    <w:rsid w:val="00177071"/>
    <w:rsid w:val="00181B53"/>
    <w:rsid w:val="001A11E6"/>
    <w:rsid w:val="001A4DC2"/>
    <w:rsid w:val="001A78C9"/>
    <w:rsid w:val="001C0DD6"/>
    <w:rsid w:val="001C4E88"/>
    <w:rsid w:val="001C79C6"/>
    <w:rsid w:val="001D0097"/>
    <w:rsid w:val="001D30EA"/>
    <w:rsid w:val="001D4082"/>
    <w:rsid w:val="001D65D7"/>
    <w:rsid w:val="001E22D1"/>
    <w:rsid w:val="001E733E"/>
    <w:rsid w:val="001F6CD1"/>
    <w:rsid w:val="0020028C"/>
    <w:rsid w:val="002004B9"/>
    <w:rsid w:val="00204152"/>
    <w:rsid w:val="00206EE7"/>
    <w:rsid w:val="002114E4"/>
    <w:rsid w:val="00215286"/>
    <w:rsid w:val="00216506"/>
    <w:rsid w:val="002219C0"/>
    <w:rsid w:val="002220E0"/>
    <w:rsid w:val="00224D79"/>
    <w:rsid w:val="00226E6F"/>
    <w:rsid w:val="00233085"/>
    <w:rsid w:val="00233914"/>
    <w:rsid w:val="00233943"/>
    <w:rsid w:val="00233FCE"/>
    <w:rsid w:val="00236B9F"/>
    <w:rsid w:val="00245527"/>
    <w:rsid w:val="0024711E"/>
    <w:rsid w:val="002609D3"/>
    <w:rsid w:val="002C03EF"/>
    <w:rsid w:val="002C1855"/>
    <w:rsid w:val="002C2B9A"/>
    <w:rsid w:val="002D504D"/>
    <w:rsid w:val="002E116B"/>
    <w:rsid w:val="002E6CFC"/>
    <w:rsid w:val="002E7048"/>
    <w:rsid w:val="002E75C7"/>
    <w:rsid w:val="002F2815"/>
    <w:rsid w:val="00302D2D"/>
    <w:rsid w:val="003237AB"/>
    <w:rsid w:val="00324255"/>
    <w:rsid w:val="00332AA2"/>
    <w:rsid w:val="00361390"/>
    <w:rsid w:val="00373879"/>
    <w:rsid w:val="003844D5"/>
    <w:rsid w:val="0038736E"/>
    <w:rsid w:val="00396ECE"/>
    <w:rsid w:val="003A0C16"/>
    <w:rsid w:val="003A43A2"/>
    <w:rsid w:val="003A52B3"/>
    <w:rsid w:val="003B331A"/>
    <w:rsid w:val="003B39A4"/>
    <w:rsid w:val="003B55DA"/>
    <w:rsid w:val="003B677B"/>
    <w:rsid w:val="003D0A59"/>
    <w:rsid w:val="003D1241"/>
    <w:rsid w:val="003E0B79"/>
    <w:rsid w:val="003E69CE"/>
    <w:rsid w:val="003F6A9F"/>
    <w:rsid w:val="003F7E2B"/>
    <w:rsid w:val="004005AF"/>
    <w:rsid w:val="004030B0"/>
    <w:rsid w:val="00405F0D"/>
    <w:rsid w:val="00407D5F"/>
    <w:rsid w:val="0041539E"/>
    <w:rsid w:val="004229B6"/>
    <w:rsid w:val="00431EF7"/>
    <w:rsid w:val="0043242A"/>
    <w:rsid w:val="00440923"/>
    <w:rsid w:val="004423E9"/>
    <w:rsid w:val="00452229"/>
    <w:rsid w:val="0045498B"/>
    <w:rsid w:val="00463C33"/>
    <w:rsid w:val="00463D73"/>
    <w:rsid w:val="00464086"/>
    <w:rsid w:val="00464579"/>
    <w:rsid w:val="00475417"/>
    <w:rsid w:val="004823B7"/>
    <w:rsid w:val="004848D5"/>
    <w:rsid w:val="00491C23"/>
    <w:rsid w:val="004A6915"/>
    <w:rsid w:val="004B4C0F"/>
    <w:rsid w:val="004B76A1"/>
    <w:rsid w:val="004C08ED"/>
    <w:rsid w:val="004C338A"/>
    <w:rsid w:val="004C61DC"/>
    <w:rsid w:val="004C66BD"/>
    <w:rsid w:val="004D5D39"/>
    <w:rsid w:val="004E1CC4"/>
    <w:rsid w:val="004E5079"/>
    <w:rsid w:val="004F1039"/>
    <w:rsid w:val="004F10F8"/>
    <w:rsid w:val="004F4175"/>
    <w:rsid w:val="004F764C"/>
    <w:rsid w:val="005221BD"/>
    <w:rsid w:val="00523755"/>
    <w:rsid w:val="00540F2C"/>
    <w:rsid w:val="005504C1"/>
    <w:rsid w:val="00556E1C"/>
    <w:rsid w:val="005701F7"/>
    <w:rsid w:val="005708F2"/>
    <w:rsid w:val="00570CB8"/>
    <w:rsid w:val="00572385"/>
    <w:rsid w:val="005822F7"/>
    <w:rsid w:val="00594E31"/>
    <w:rsid w:val="005A5445"/>
    <w:rsid w:val="005B2729"/>
    <w:rsid w:val="005B49F1"/>
    <w:rsid w:val="005C19EA"/>
    <w:rsid w:val="005D5BBE"/>
    <w:rsid w:val="005D7602"/>
    <w:rsid w:val="005D789F"/>
    <w:rsid w:val="005E7030"/>
    <w:rsid w:val="005F404C"/>
    <w:rsid w:val="005F49C0"/>
    <w:rsid w:val="00604BCC"/>
    <w:rsid w:val="0061467F"/>
    <w:rsid w:val="00622CC8"/>
    <w:rsid w:val="006258BF"/>
    <w:rsid w:val="006265EF"/>
    <w:rsid w:val="00637738"/>
    <w:rsid w:val="006417A1"/>
    <w:rsid w:val="00650502"/>
    <w:rsid w:val="00653B51"/>
    <w:rsid w:val="00657BEF"/>
    <w:rsid w:val="00657FA8"/>
    <w:rsid w:val="00672DD3"/>
    <w:rsid w:val="00677471"/>
    <w:rsid w:val="00683C34"/>
    <w:rsid w:val="00685024"/>
    <w:rsid w:val="0068698B"/>
    <w:rsid w:val="006A06E8"/>
    <w:rsid w:val="006A6803"/>
    <w:rsid w:val="006B1162"/>
    <w:rsid w:val="006B400E"/>
    <w:rsid w:val="006B704B"/>
    <w:rsid w:val="006C1F4E"/>
    <w:rsid w:val="006C3F9B"/>
    <w:rsid w:val="006C7DFD"/>
    <w:rsid w:val="006E1070"/>
    <w:rsid w:val="006E1E59"/>
    <w:rsid w:val="006E7555"/>
    <w:rsid w:val="006F5B8B"/>
    <w:rsid w:val="007008D8"/>
    <w:rsid w:val="007013FA"/>
    <w:rsid w:val="007020EE"/>
    <w:rsid w:val="007025EF"/>
    <w:rsid w:val="0070422E"/>
    <w:rsid w:val="00717F1F"/>
    <w:rsid w:val="0072264C"/>
    <w:rsid w:val="007233DA"/>
    <w:rsid w:val="00746FCE"/>
    <w:rsid w:val="0075477B"/>
    <w:rsid w:val="007559DC"/>
    <w:rsid w:val="007910CC"/>
    <w:rsid w:val="00791C1F"/>
    <w:rsid w:val="00797523"/>
    <w:rsid w:val="007B57D0"/>
    <w:rsid w:val="007C1D0E"/>
    <w:rsid w:val="007D107A"/>
    <w:rsid w:val="007D3EDB"/>
    <w:rsid w:val="007E2601"/>
    <w:rsid w:val="007E710F"/>
    <w:rsid w:val="007F47F9"/>
    <w:rsid w:val="007F61CF"/>
    <w:rsid w:val="0080517E"/>
    <w:rsid w:val="008077B1"/>
    <w:rsid w:val="0081472E"/>
    <w:rsid w:val="00815CF6"/>
    <w:rsid w:val="00821135"/>
    <w:rsid w:val="00822A1E"/>
    <w:rsid w:val="0083441B"/>
    <w:rsid w:val="008359BE"/>
    <w:rsid w:val="008371A1"/>
    <w:rsid w:val="0085465A"/>
    <w:rsid w:val="008555FF"/>
    <w:rsid w:val="0086630D"/>
    <w:rsid w:val="00893452"/>
    <w:rsid w:val="00894D72"/>
    <w:rsid w:val="00896AC2"/>
    <w:rsid w:val="008A6255"/>
    <w:rsid w:val="008A785F"/>
    <w:rsid w:val="008B4A74"/>
    <w:rsid w:val="008C0678"/>
    <w:rsid w:val="008C182F"/>
    <w:rsid w:val="008C666F"/>
    <w:rsid w:val="008E3BB9"/>
    <w:rsid w:val="00901A3C"/>
    <w:rsid w:val="00907C68"/>
    <w:rsid w:val="0092580C"/>
    <w:rsid w:val="00927DEB"/>
    <w:rsid w:val="009341AB"/>
    <w:rsid w:val="00943161"/>
    <w:rsid w:val="00961E9D"/>
    <w:rsid w:val="00962611"/>
    <w:rsid w:val="00981402"/>
    <w:rsid w:val="00981EEE"/>
    <w:rsid w:val="00984322"/>
    <w:rsid w:val="00996A81"/>
    <w:rsid w:val="009A7F83"/>
    <w:rsid w:val="009C73F4"/>
    <w:rsid w:val="009D0657"/>
    <w:rsid w:val="009E3D03"/>
    <w:rsid w:val="009E3F23"/>
    <w:rsid w:val="009E420A"/>
    <w:rsid w:val="009E632A"/>
    <w:rsid w:val="009E71DC"/>
    <w:rsid w:val="009E7DC3"/>
    <w:rsid w:val="009F07BB"/>
    <w:rsid w:val="00A01246"/>
    <w:rsid w:val="00A02B10"/>
    <w:rsid w:val="00A14EE9"/>
    <w:rsid w:val="00A15226"/>
    <w:rsid w:val="00A165A4"/>
    <w:rsid w:val="00A1783A"/>
    <w:rsid w:val="00A212E8"/>
    <w:rsid w:val="00A22DF9"/>
    <w:rsid w:val="00A2499A"/>
    <w:rsid w:val="00A44BC9"/>
    <w:rsid w:val="00A50462"/>
    <w:rsid w:val="00A648CE"/>
    <w:rsid w:val="00A670BE"/>
    <w:rsid w:val="00A6758D"/>
    <w:rsid w:val="00A677E8"/>
    <w:rsid w:val="00A71878"/>
    <w:rsid w:val="00A968FF"/>
    <w:rsid w:val="00AA2DCE"/>
    <w:rsid w:val="00AA3667"/>
    <w:rsid w:val="00AA3C60"/>
    <w:rsid w:val="00AA5C9A"/>
    <w:rsid w:val="00AB34B5"/>
    <w:rsid w:val="00AD25EC"/>
    <w:rsid w:val="00AE2421"/>
    <w:rsid w:val="00B04FD3"/>
    <w:rsid w:val="00B161FB"/>
    <w:rsid w:val="00B17B44"/>
    <w:rsid w:val="00B24189"/>
    <w:rsid w:val="00B27C28"/>
    <w:rsid w:val="00B30EA5"/>
    <w:rsid w:val="00B368A5"/>
    <w:rsid w:val="00B477B7"/>
    <w:rsid w:val="00B526D3"/>
    <w:rsid w:val="00B775CB"/>
    <w:rsid w:val="00B83C77"/>
    <w:rsid w:val="00B9262F"/>
    <w:rsid w:val="00B94AAB"/>
    <w:rsid w:val="00B970E4"/>
    <w:rsid w:val="00BA56CF"/>
    <w:rsid w:val="00BB3474"/>
    <w:rsid w:val="00BD11A8"/>
    <w:rsid w:val="00BF3235"/>
    <w:rsid w:val="00BF39B7"/>
    <w:rsid w:val="00C01A4E"/>
    <w:rsid w:val="00C02E22"/>
    <w:rsid w:val="00C04D46"/>
    <w:rsid w:val="00C07513"/>
    <w:rsid w:val="00C1751E"/>
    <w:rsid w:val="00C211F1"/>
    <w:rsid w:val="00C22ED2"/>
    <w:rsid w:val="00C25F79"/>
    <w:rsid w:val="00C34BD6"/>
    <w:rsid w:val="00C46894"/>
    <w:rsid w:val="00C506AC"/>
    <w:rsid w:val="00C617BC"/>
    <w:rsid w:val="00C64A6E"/>
    <w:rsid w:val="00C770FF"/>
    <w:rsid w:val="00C80D3A"/>
    <w:rsid w:val="00C8107E"/>
    <w:rsid w:val="00C84505"/>
    <w:rsid w:val="00C94AFE"/>
    <w:rsid w:val="00C97BE0"/>
    <w:rsid w:val="00CD35AC"/>
    <w:rsid w:val="00CD503B"/>
    <w:rsid w:val="00CD6AA6"/>
    <w:rsid w:val="00CE63CA"/>
    <w:rsid w:val="00CF02CA"/>
    <w:rsid w:val="00D0630D"/>
    <w:rsid w:val="00D0770B"/>
    <w:rsid w:val="00D10040"/>
    <w:rsid w:val="00D10E2C"/>
    <w:rsid w:val="00D12D5E"/>
    <w:rsid w:val="00D300A3"/>
    <w:rsid w:val="00D37606"/>
    <w:rsid w:val="00D416D3"/>
    <w:rsid w:val="00D52CD0"/>
    <w:rsid w:val="00D61AFD"/>
    <w:rsid w:val="00D66359"/>
    <w:rsid w:val="00D6745F"/>
    <w:rsid w:val="00D677E2"/>
    <w:rsid w:val="00D7596E"/>
    <w:rsid w:val="00D82EDB"/>
    <w:rsid w:val="00D91AF4"/>
    <w:rsid w:val="00D9246E"/>
    <w:rsid w:val="00DA0940"/>
    <w:rsid w:val="00DA0E2A"/>
    <w:rsid w:val="00DA12C8"/>
    <w:rsid w:val="00DB483B"/>
    <w:rsid w:val="00DB538E"/>
    <w:rsid w:val="00DB7FE7"/>
    <w:rsid w:val="00DC0D9D"/>
    <w:rsid w:val="00DC2BAE"/>
    <w:rsid w:val="00DC324C"/>
    <w:rsid w:val="00DD0889"/>
    <w:rsid w:val="00DD6271"/>
    <w:rsid w:val="00DE42C6"/>
    <w:rsid w:val="00DE583D"/>
    <w:rsid w:val="00DE6C09"/>
    <w:rsid w:val="00DF2920"/>
    <w:rsid w:val="00DF41F7"/>
    <w:rsid w:val="00E10E4C"/>
    <w:rsid w:val="00E17798"/>
    <w:rsid w:val="00E41E6C"/>
    <w:rsid w:val="00E43EC8"/>
    <w:rsid w:val="00E53D9F"/>
    <w:rsid w:val="00E61A63"/>
    <w:rsid w:val="00E74727"/>
    <w:rsid w:val="00E80E61"/>
    <w:rsid w:val="00E903AE"/>
    <w:rsid w:val="00E97520"/>
    <w:rsid w:val="00EA20E0"/>
    <w:rsid w:val="00EA3A77"/>
    <w:rsid w:val="00EC2142"/>
    <w:rsid w:val="00EC64E3"/>
    <w:rsid w:val="00EC7BC0"/>
    <w:rsid w:val="00ED4687"/>
    <w:rsid w:val="00ED4B0F"/>
    <w:rsid w:val="00EE35AE"/>
    <w:rsid w:val="00EE7FD0"/>
    <w:rsid w:val="00EF432C"/>
    <w:rsid w:val="00F1033E"/>
    <w:rsid w:val="00F11ACA"/>
    <w:rsid w:val="00F14F35"/>
    <w:rsid w:val="00F17704"/>
    <w:rsid w:val="00F17852"/>
    <w:rsid w:val="00F22669"/>
    <w:rsid w:val="00F31F86"/>
    <w:rsid w:val="00F32AFA"/>
    <w:rsid w:val="00F349D0"/>
    <w:rsid w:val="00F3604B"/>
    <w:rsid w:val="00F521D1"/>
    <w:rsid w:val="00F60F7E"/>
    <w:rsid w:val="00F61920"/>
    <w:rsid w:val="00F93F34"/>
    <w:rsid w:val="00F950DD"/>
    <w:rsid w:val="00FB177C"/>
    <w:rsid w:val="00FB7533"/>
    <w:rsid w:val="00FE6DCD"/>
    <w:rsid w:val="00FE76BC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D7809078-0F58-4E99-9AD4-F7EF91F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uiPriority w:val="20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uiPriority w:val="99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5F49C0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7">
    <w:name w:val="A7"/>
    <w:uiPriority w:val="99"/>
    <w:rsid w:val="000B3A5E"/>
    <w:rPr>
      <w:i/>
      <w:iCs/>
      <w:color w:val="000000"/>
      <w:sz w:val="15"/>
      <w:szCs w:val="15"/>
    </w:rPr>
  </w:style>
  <w:style w:type="character" w:styleId="lev">
    <w:name w:val="Strong"/>
    <w:uiPriority w:val="22"/>
    <w:qFormat/>
    <w:rsid w:val="00F11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8D52777-DEC0-4092-8CEA-07AA7096192D}"/>
</file>

<file path=customXml/itemProps2.xml><?xml version="1.0" encoding="utf-8"?>
<ds:datastoreItem xmlns:ds="http://schemas.openxmlformats.org/officeDocument/2006/customXml" ds:itemID="{A0762BCB-5C09-421C-BB55-7C161DBED910}"/>
</file>

<file path=customXml/itemProps3.xml><?xml version="1.0" encoding="utf-8"?>
<ds:datastoreItem xmlns:ds="http://schemas.openxmlformats.org/officeDocument/2006/customXml" ds:itemID="{D170274D-5430-4CB1-A75A-43E20F231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5298</Characters>
  <Application>Microsoft Office Word</Application>
  <DocSecurity>4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Parlementaire DP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cp:lastPrinted>2015-05-26T12:11:00Z</cp:lastPrinted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