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F2" w:rsidRPr="007E788F" w:rsidRDefault="005708F2" w:rsidP="007E788F">
      <w:pPr>
        <w:tabs>
          <w:tab w:val="left" w:pos="3544"/>
        </w:tabs>
        <w:jc w:val="both"/>
        <w:rPr>
          <w:rFonts w:ascii="Arial" w:hAnsi="Arial" w:cs="Arial"/>
          <w:b/>
          <w:sz w:val="22"/>
          <w:szCs w:val="22"/>
          <w:lang w:val="fr-FR"/>
        </w:rPr>
      </w:pPr>
      <w:bookmarkStart w:id="0" w:name="_GoBack"/>
      <w:bookmarkEnd w:id="0"/>
      <w:r w:rsidRPr="007E788F">
        <w:rPr>
          <w:rFonts w:ascii="Arial" w:hAnsi="Arial" w:cs="Arial"/>
          <w:b/>
          <w:sz w:val="22"/>
          <w:szCs w:val="22"/>
          <w:lang w:val="fr-FR"/>
        </w:rPr>
        <w:t>Proje</w:t>
      </w:r>
      <w:r w:rsidR="007025EF" w:rsidRPr="007E788F">
        <w:rPr>
          <w:rFonts w:ascii="Arial" w:hAnsi="Arial" w:cs="Arial"/>
          <w:b/>
          <w:sz w:val="22"/>
          <w:szCs w:val="22"/>
          <w:lang w:val="fr-FR"/>
        </w:rPr>
        <w:t xml:space="preserve">t de loi </w:t>
      </w:r>
      <w:r w:rsidR="007E788F" w:rsidRPr="007E788F">
        <w:rPr>
          <w:rFonts w:ascii="Arial" w:hAnsi="Arial" w:cs="Arial"/>
          <w:b/>
          <w:noProof/>
          <w:sz w:val="22"/>
          <w:szCs w:val="22"/>
          <w:lang w:val="fr-FR"/>
        </w:rPr>
        <w:t xml:space="preserve">6798 </w:t>
      </w:r>
      <w:r w:rsidR="007025EF" w:rsidRPr="007E788F">
        <w:rPr>
          <w:rFonts w:ascii="Arial" w:hAnsi="Arial" w:cs="Arial"/>
          <w:b/>
          <w:sz w:val="22"/>
          <w:szCs w:val="22"/>
          <w:lang w:val="fr-FR"/>
        </w:rPr>
        <w:t>portant approbation</w:t>
      </w:r>
      <w:r w:rsidRPr="007E788F">
        <w:rPr>
          <w:rFonts w:ascii="Arial" w:hAnsi="Arial" w:cs="Arial"/>
          <w:b/>
          <w:sz w:val="22"/>
          <w:szCs w:val="22"/>
          <w:lang w:val="fr-FR"/>
        </w:rPr>
        <w:t>:</w:t>
      </w:r>
    </w:p>
    <w:p w:rsidR="00A1783A" w:rsidRPr="007E788F" w:rsidRDefault="00A1783A" w:rsidP="007E788F">
      <w:pPr>
        <w:pStyle w:val="Paragraphedeliste"/>
        <w:widowControl w:val="0"/>
        <w:numPr>
          <w:ilvl w:val="0"/>
          <w:numId w:val="34"/>
        </w:numPr>
        <w:autoSpaceDE w:val="0"/>
        <w:autoSpaceDN w:val="0"/>
        <w:adjustRightInd w:val="0"/>
        <w:spacing w:after="0" w:line="240" w:lineRule="auto"/>
        <w:jc w:val="both"/>
        <w:rPr>
          <w:rFonts w:ascii="Arial" w:eastAsia="Times New Roman" w:hAnsi="Arial" w:cs="Arial"/>
        </w:rPr>
      </w:pPr>
      <w:r w:rsidRPr="007E788F">
        <w:rPr>
          <w:rFonts w:ascii="Arial" w:eastAsia="Times New Roman" w:hAnsi="Arial" w:cs="Arial"/>
          <w:b/>
          <w:bCs/>
        </w:rPr>
        <w:t>de l’Accord entre le Gouvernement du Grand-Duché de Luxembourg et le Gouvernement des Etats-Unis d’Amérique en vue d’améliorer le respect des obligations fiscales à l’échelle internationale et rela</w:t>
      </w:r>
      <w:r w:rsidR="001C4E88" w:rsidRPr="007E788F">
        <w:rPr>
          <w:rFonts w:ascii="Arial" w:eastAsia="Times New Roman" w:hAnsi="Arial" w:cs="Arial"/>
          <w:b/>
          <w:bCs/>
        </w:rPr>
        <w:t>tif aux dispositions des Etats-</w:t>
      </w:r>
      <w:r w:rsidRPr="007E788F">
        <w:rPr>
          <w:rFonts w:ascii="Arial" w:eastAsia="Times New Roman" w:hAnsi="Arial" w:cs="Arial"/>
          <w:b/>
          <w:bCs/>
        </w:rPr>
        <w:t xml:space="preserve">Unis d’Amérique concernant l’échange d’informations communément appelées le „Foreign Account Tax Compliance Act“, y compris ses deux annexes ainsi que le „Memorandum of Understanding“ y relatif, signés à Luxembourg le 28 mars 2014 </w:t>
      </w:r>
    </w:p>
    <w:p w:rsidR="00A1783A" w:rsidRPr="007E788F" w:rsidRDefault="00A1783A" w:rsidP="007E788F">
      <w:pPr>
        <w:pStyle w:val="Paragraphedeliste"/>
        <w:widowControl w:val="0"/>
        <w:numPr>
          <w:ilvl w:val="0"/>
          <w:numId w:val="34"/>
        </w:numPr>
        <w:autoSpaceDE w:val="0"/>
        <w:autoSpaceDN w:val="0"/>
        <w:adjustRightInd w:val="0"/>
        <w:spacing w:after="0" w:line="240" w:lineRule="auto"/>
        <w:jc w:val="both"/>
        <w:rPr>
          <w:rFonts w:ascii="Arial" w:eastAsia="Times New Roman" w:hAnsi="Arial" w:cs="Arial"/>
          <w:b/>
        </w:rPr>
      </w:pPr>
      <w:r w:rsidRPr="007E788F">
        <w:rPr>
          <w:rFonts w:ascii="Arial" w:eastAsia="Times New Roman" w:hAnsi="Arial" w:cs="Arial"/>
          <w:b/>
          <w:bCs/>
        </w:rPr>
        <w:t>de l’échange de notes y relatives</w:t>
      </w:r>
      <w:r w:rsidR="00F950DD" w:rsidRPr="007E788F">
        <w:rPr>
          <w:rFonts w:ascii="Arial" w:hAnsi="Arial" w:cs="Arial"/>
          <w:b/>
          <w:bCs/>
        </w:rPr>
        <w:t>, signées les 31 mars et 1</w:t>
      </w:r>
      <w:r w:rsidR="00F950DD" w:rsidRPr="007E788F">
        <w:rPr>
          <w:rFonts w:ascii="Arial" w:hAnsi="Arial" w:cs="Arial"/>
          <w:b/>
          <w:bCs/>
          <w:vertAlign w:val="superscript"/>
        </w:rPr>
        <w:t>er</w:t>
      </w:r>
      <w:r w:rsidR="00F950DD" w:rsidRPr="007E788F">
        <w:rPr>
          <w:rFonts w:ascii="Arial" w:hAnsi="Arial" w:cs="Arial"/>
          <w:b/>
          <w:bCs/>
        </w:rPr>
        <w:t xml:space="preserve"> avril 2015</w:t>
      </w:r>
    </w:p>
    <w:p w:rsidR="00B775CB" w:rsidRPr="00A14EE9" w:rsidRDefault="00B775CB" w:rsidP="007E788F">
      <w:pPr>
        <w:jc w:val="both"/>
        <w:rPr>
          <w:rFonts w:ascii="Arial" w:hAnsi="Arial" w:cs="Arial"/>
          <w:b/>
          <w:noProof/>
          <w:color w:val="C0504D"/>
          <w:sz w:val="22"/>
          <w:szCs w:val="22"/>
          <w:lang w:val="fr-FR"/>
        </w:rPr>
      </w:pPr>
    </w:p>
    <w:p w:rsidR="002C03EF" w:rsidRPr="00452229" w:rsidRDefault="00A14EE9" w:rsidP="007E788F">
      <w:pPr>
        <w:widowControl w:val="0"/>
        <w:autoSpaceDE w:val="0"/>
        <w:autoSpaceDN w:val="0"/>
        <w:adjustRightInd w:val="0"/>
        <w:jc w:val="both"/>
        <w:rPr>
          <w:rFonts w:ascii="Arial" w:eastAsia="Times New Roman" w:hAnsi="Arial" w:cs="Arial"/>
          <w:sz w:val="22"/>
          <w:szCs w:val="22"/>
          <w:lang w:val="fr-FR"/>
        </w:rPr>
      </w:pPr>
      <w:r w:rsidRPr="00EA20E0">
        <w:rPr>
          <w:rFonts w:ascii="Arial" w:hAnsi="Arial" w:cs="Arial"/>
          <w:sz w:val="22"/>
          <w:szCs w:val="22"/>
          <w:lang w:val="fr-FR"/>
        </w:rPr>
        <w:t xml:space="preserve">Le projet de loi sous rubrique a </w:t>
      </w:r>
      <w:r w:rsidR="007E788F">
        <w:rPr>
          <w:rFonts w:ascii="Arial" w:hAnsi="Arial" w:cs="Arial"/>
          <w:sz w:val="22"/>
          <w:szCs w:val="22"/>
          <w:lang w:val="fr-FR"/>
        </w:rPr>
        <w:t>pour</w:t>
      </w:r>
      <w:r w:rsidRPr="00EA20E0">
        <w:rPr>
          <w:rFonts w:ascii="Arial" w:hAnsi="Arial" w:cs="Arial"/>
          <w:sz w:val="22"/>
          <w:szCs w:val="22"/>
          <w:lang w:val="fr-FR"/>
        </w:rPr>
        <w:t xml:space="preserve"> objet </w:t>
      </w:r>
      <w:r w:rsidR="007E788F">
        <w:rPr>
          <w:rFonts w:ascii="Arial" w:hAnsi="Arial" w:cs="Arial"/>
          <w:sz w:val="22"/>
          <w:szCs w:val="22"/>
          <w:lang w:val="fr-FR"/>
        </w:rPr>
        <w:t>l’</w:t>
      </w:r>
      <w:r w:rsidRPr="00EA20E0">
        <w:rPr>
          <w:rFonts w:ascii="Arial" w:hAnsi="Arial" w:cs="Arial"/>
          <w:sz w:val="22"/>
          <w:szCs w:val="22"/>
          <w:lang w:val="fr-FR"/>
        </w:rPr>
        <w:t xml:space="preserve">approbation de </w:t>
      </w:r>
      <w:r w:rsidRPr="00EA20E0">
        <w:rPr>
          <w:rFonts w:ascii="Arial" w:eastAsia="Times New Roman" w:hAnsi="Arial" w:cs="Arial"/>
          <w:sz w:val="22"/>
          <w:szCs w:val="22"/>
          <w:lang w:val="fr-FR"/>
        </w:rPr>
        <w:t>l’Accord entre le Gouvernement du Grand-Duché de Luxembourg et le Gouverne</w:t>
      </w:r>
      <w:r w:rsidR="00CD35AC">
        <w:rPr>
          <w:rFonts w:ascii="Arial" w:eastAsia="Times New Roman" w:hAnsi="Arial" w:cs="Arial"/>
          <w:sz w:val="22"/>
          <w:szCs w:val="22"/>
          <w:lang w:val="fr-FR"/>
        </w:rPr>
        <w:t xml:space="preserve">ment des </w:t>
      </w:r>
      <w:r w:rsidR="00D37606">
        <w:rPr>
          <w:rFonts w:ascii="Arial" w:hAnsi="Arial" w:cs="Arial"/>
          <w:sz w:val="22"/>
          <w:szCs w:val="22"/>
          <w:lang w:val="fr-FR"/>
        </w:rPr>
        <w:t>É</w:t>
      </w:r>
      <w:r w:rsidR="00CD35AC">
        <w:rPr>
          <w:rFonts w:ascii="Arial" w:eastAsia="Times New Roman" w:hAnsi="Arial" w:cs="Arial"/>
          <w:sz w:val="22"/>
          <w:szCs w:val="22"/>
          <w:lang w:val="fr-FR"/>
        </w:rPr>
        <w:t>tats- Unis d’Amérique</w:t>
      </w:r>
      <w:r w:rsidRPr="00EA20E0">
        <w:rPr>
          <w:rFonts w:ascii="Arial" w:eastAsia="Times New Roman" w:hAnsi="Arial" w:cs="Arial"/>
          <w:sz w:val="22"/>
          <w:szCs w:val="22"/>
          <w:lang w:val="fr-FR"/>
        </w:rPr>
        <w:t xml:space="preserve"> du no</w:t>
      </w:r>
      <w:r w:rsidR="00D37606">
        <w:rPr>
          <w:rFonts w:ascii="Arial" w:eastAsia="Times New Roman" w:hAnsi="Arial" w:cs="Arial"/>
          <w:sz w:val="22"/>
          <w:szCs w:val="22"/>
          <w:lang w:val="fr-FR"/>
        </w:rPr>
        <w:t>m de la législation américaine « </w:t>
      </w:r>
      <w:r w:rsidRPr="00EA20E0">
        <w:rPr>
          <w:rFonts w:ascii="Arial" w:eastAsia="Times New Roman" w:hAnsi="Arial" w:cs="Arial"/>
          <w:sz w:val="22"/>
          <w:szCs w:val="22"/>
          <w:lang w:val="fr-FR"/>
        </w:rPr>
        <w:t>Foreign Acco</w:t>
      </w:r>
      <w:r w:rsidR="001C4E88">
        <w:rPr>
          <w:rFonts w:ascii="Arial" w:eastAsia="Times New Roman" w:hAnsi="Arial" w:cs="Arial"/>
          <w:sz w:val="22"/>
          <w:szCs w:val="22"/>
          <w:lang w:val="fr-FR"/>
        </w:rPr>
        <w:t>unt Tax Compliance Act</w:t>
      </w:r>
      <w:r w:rsidR="00D37606">
        <w:rPr>
          <w:rFonts w:ascii="Arial" w:eastAsia="Times New Roman" w:hAnsi="Arial" w:cs="Arial"/>
          <w:sz w:val="22"/>
          <w:szCs w:val="22"/>
          <w:lang w:val="fr-FR"/>
        </w:rPr>
        <w:t> »</w:t>
      </w:r>
      <w:r w:rsidR="001C4E88">
        <w:rPr>
          <w:rFonts w:ascii="Arial" w:eastAsia="Times New Roman" w:hAnsi="Arial" w:cs="Arial"/>
          <w:sz w:val="22"/>
          <w:szCs w:val="22"/>
          <w:lang w:val="fr-FR"/>
        </w:rPr>
        <w:t xml:space="preserve"> (FATCA), aussi bien que de l’échange des notes y relatives.</w:t>
      </w:r>
      <w:r w:rsidR="002C03EF" w:rsidRPr="00EA20E0">
        <w:rPr>
          <w:rFonts w:ascii="Arial" w:eastAsia="Times New Roman" w:hAnsi="Arial" w:cs="Arial"/>
          <w:sz w:val="22"/>
          <w:szCs w:val="22"/>
          <w:lang w:val="fr-FR"/>
        </w:rPr>
        <w:t xml:space="preserve"> L’Accord, signé le 28 mars 2014 à Luxembourg, prévoit les m</w:t>
      </w:r>
      <w:r w:rsidR="00C211F1">
        <w:rPr>
          <w:rFonts w:ascii="Arial" w:eastAsia="Times New Roman" w:hAnsi="Arial" w:cs="Arial"/>
          <w:sz w:val="22"/>
          <w:szCs w:val="22"/>
          <w:lang w:val="fr-FR"/>
        </w:rPr>
        <w:t>odalit</w:t>
      </w:r>
      <w:r w:rsidR="002C03EF" w:rsidRPr="00EA20E0">
        <w:rPr>
          <w:rFonts w:ascii="Arial" w:eastAsia="Times New Roman" w:hAnsi="Arial" w:cs="Arial"/>
          <w:sz w:val="22"/>
          <w:szCs w:val="22"/>
          <w:lang w:val="fr-FR"/>
        </w:rPr>
        <w:t>és de l’échange automatique et réciproque d’informations entre le Luxembourg et les Etats-Unis d’Amérique</w:t>
      </w:r>
      <w:r w:rsidR="002C03EF" w:rsidRPr="00452229">
        <w:rPr>
          <w:rFonts w:ascii="Arial" w:eastAsia="Times New Roman" w:hAnsi="Arial" w:cs="Arial"/>
          <w:sz w:val="22"/>
          <w:szCs w:val="22"/>
          <w:lang w:val="fr-FR"/>
        </w:rPr>
        <w:t xml:space="preserve">. </w:t>
      </w:r>
      <w:r w:rsidR="001C4E88" w:rsidRPr="00452229">
        <w:rPr>
          <w:rFonts w:ascii="Arial" w:eastAsia="Times New Roman" w:hAnsi="Arial" w:cs="Arial"/>
          <w:sz w:val="22"/>
          <w:szCs w:val="22"/>
          <w:lang w:val="fr-FR"/>
        </w:rPr>
        <w:t>Cet échange concerne des informations de nature financière de la part de comptes de personnes ayant des liens avec les Etats-Unis d’Amérique.</w:t>
      </w:r>
    </w:p>
    <w:p w:rsidR="007E788F" w:rsidRDefault="007E788F" w:rsidP="007E788F">
      <w:pPr>
        <w:widowControl w:val="0"/>
        <w:autoSpaceDE w:val="0"/>
        <w:autoSpaceDN w:val="0"/>
        <w:adjustRightInd w:val="0"/>
        <w:jc w:val="both"/>
        <w:rPr>
          <w:rFonts w:ascii="Arial" w:eastAsia="Times New Roman" w:hAnsi="Arial" w:cs="Arial"/>
          <w:sz w:val="22"/>
          <w:szCs w:val="22"/>
          <w:u w:val="single"/>
          <w:lang w:val="fr-FR"/>
        </w:rPr>
      </w:pPr>
    </w:p>
    <w:p w:rsidR="00F11ACA" w:rsidRPr="00452229" w:rsidRDefault="001C4E88" w:rsidP="007E788F">
      <w:pPr>
        <w:widowControl w:val="0"/>
        <w:autoSpaceDE w:val="0"/>
        <w:autoSpaceDN w:val="0"/>
        <w:adjustRightInd w:val="0"/>
        <w:jc w:val="both"/>
        <w:rPr>
          <w:rFonts w:ascii="Arial" w:eastAsia="Times New Roman" w:hAnsi="Arial" w:cs="Arial"/>
          <w:sz w:val="22"/>
          <w:szCs w:val="22"/>
          <w:u w:val="single"/>
          <w:lang w:val="fr-FR"/>
        </w:rPr>
      </w:pPr>
      <w:r w:rsidRPr="00452229">
        <w:rPr>
          <w:rFonts w:ascii="Arial" w:eastAsia="Times New Roman" w:hAnsi="Arial" w:cs="Arial"/>
          <w:sz w:val="22"/>
          <w:szCs w:val="22"/>
          <w:u w:val="single"/>
          <w:lang w:val="fr-FR"/>
        </w:rPr>
        <w:t>La loi FATCA de</w:t>
      </w:r>
      <w:r w:rsidR="00F11ACA" w:rsidRPr="00452229">
        <w:rPr>
          <w:rFonts w:ascii="Arial" w:eastAsia="Times New Roman" w:hAnsi="Arial" w:cs="Arial"/>
          <w:sz w:val="22"/>
          <w:szCs w:val="22"/>
          <w:u w:val="single"/>
          <w:lang w:val="fr-FR"/>
        </w:rPr>
        <w:t xml:space="preserve"> 2010 et ses objectifs</w:t>
      </w:r>
    </w:p>
    <w:p w:rsidR="007E788F" w:rsidRDefault="007E788F" w:rsidP="007E788F">
      <w:pPr>
        <w:widowControl w:val="0"/>
        <w:autoSpaceDE w:val="0"/>
        <w:autoSpaceDN w:val="0"/>
        <w:adjustRightInd w:val="0"/>
        <w:jc w:val="both"/>
        <w:rPr>
          <w:rFonts w:ascii="Arial" w:eastAsia="Times New Roman" w:hAnsi="Arial" w:cs="Arial"/>
          <w:sz w:val="22"/>
          <w:szCs w:val="22"/>
          <w:lang w:val="fr-FR"/>
        </w:rPr>
      </w:pPr>
    </w:p>
    <w:p w:rsidR="00C617BC" w:rsidRPr="00452229" w:rsidRDefault="001C4E88" w:rsidP="007E788F">
      <w:pPr>
        <w:widowControl w:val="0"/>
        <w:autoSpaceDE w:val="0"/>
        <w:autoSpaceDN w:val="0"/>
        <w:adjustRightInd w:val="0"/>
        <w:jc w:val="both"/>
        <w:rPr>
          <w:rFonts w:ascii="Arial" w:eastAsia="Times New Roman" w:hAnsi="Arial" w:cs="Arial"/>
          <w:sz w:val="22"/>
          <w:szCs w:val="22"/>
          <w:lang w:val="fr-FR"/>
        </w:rPr>
      </w:pPr>
      <w:r w:rsidRPr="00452229">
        <w:rPr>
          <w:rFonts w:ascii="Arial" w:eastAsia="Times New Roman" w:hAnsi="Arial" w:cs="Arial"/>
          <w:sz w:val="22"/>
          <w:szCs w:val="22"/>
          <w:lang w:val="fr-FR"/>
        </w:rPr>
        <w:t xml:space="preserve">Le projet de loi </w:t>
      </w:r>
      <w:r w:rsidR="00C07513" w:rsidRPr="00452229">
        <w:rPr>
          <w:rFonts w:ascii="Arial" w:eastAsia="Times New Roman" w:hAnsi="Arial" w:cs="Arial"/>
          <w:sz w:val="22"/>
          <w:szCs w:val="22"/>
          <w:lang w:val="fr-FR"/>
        </w:rPr>
        <w:t>fait suite à l’introduction en mars 2010 de ladite législation américaine qui renforce notoirement les obligation</w:t>
      </w:r>
      <w:r w:rsidR="007013FA" w:rsidRPr="00452229">
        <w:rPr>
          <w:rFonts w:ascii="Arial" w:eastAsia="Times New Roman" w:hAnsi="Arial" w:cs="Arial"/>
          <w:sz w:val="22"/>
          <w:szCs w:val="22"/>
          <w:lang w:val="fr-FR"/>
        </w:rPr>
        <w:t>s d’échange d’informations des i</w:t>
      </w:r>
      <w:r w:rsidR="00C07513" w:rsidRPr="00452229">
        <w:rPr>
          <w:rFonts w:ascii="Arial" w:eastAsia="Times New Roman" w:hAnsi="Arial" w:cs="Arial"/>
          <w:sz w:val="22"/>
          <w:szCs w:val="22"/>
          <w:lang w:val="fr-FR"/>
        </w:rPr>
        <w:t>nstitutions financières étrangères avec les autorités fiscales américaines afin de pouvoir soumettre à l’imposition américaine les rev</w:t>
      </w:r>
      <w:r w:rsidR="00CD35AC">
        <w:rPr>
          <w:rFonts w:ascii="Arial" w:eastAsia="Times New Roman" w:hAnsi="Arial" w:cs="Arial"/>
          <w:sz w:val="22"/>
          <w:szCs w:val="22"/>
          <w:lang w:val="fr-FR"/>
        </w:rPr>
        <w:t>enus dont bénéficient auprès d’i</w:t>
      </w:r>
      <w:r w:rsidR="00C07513" w:rsidRPr="00452229">
        <w:rPr>
          <w:rFonts w:ascii="Arial" w:eastAsia="Times New Roman" w:hAnsi="Arial" w:cs="Arial"/>
          <w:sz w:val="22"/>
          <w:szCs w:val="22"/>
          <w:lang w:val="fr-FR"/>
        </w:rPr>
        <w:t>nstitutions financières étrangères des résidents et des citoyens des Etats-Unis d’A</w:t>
      </w:r>
      <w:r w:rsidR="00CD35AC">
        <w:rPr>
          <w:rFonts w:ascii="Arial" w:eastAsia="Times New Roman" w:hAnsi="Arial" w:cs="Arial"/>
          <w:sz w:val="22"/>
          <w:szCs w:val="22"/>
          <w:lang w:val="fr-FR"/>
        </w:rPr>
        <w:t>mérique, aussi bien que des personnes ayant des liens financiers avec ce pays.</w:t>
      </w:r>
    </w:p>
    <w:p w:rsidR="007E788F" w:rsidRDefault="007E788F" w:rsidP="007E788F">
      <w:pPr>
        <w:widowControl w:val="0"/>
        <w:autoSpaceDE w:val="0"/>
        <w:autoSpaceDN w:val="0"/>
        <w:adjustRightInd w:val="0"/>
        <w:jc w:val="both"/>
        <w:rPr>
          <w:rFonts w:ascii="Arial" w:eastAsia="Times New Roman" w:hAnsi="Arial" w:cs="Arial"/>
          <w:sz w:val="22"/>
          <w:szCs w:val="22"/>
          <w:lang w:val="fr-FR"/>
        </w:rPr>
      </w:pPr>
    </w:p>
    <w:p w:rsidR="007E788F" w:rsidRDefault="00C617BC" w:rsidP="007E788F">
      <w:pPr>
        <w:widowControl w:val="0"/>
        <w:autoSpaceDE w:val="0"/>
        <w:autoSpaceDN w:val="0"/>
        <w:adjustRightInd w:val="0"/>
        <w:jc w:val="both"/>
        <w:rPr>
          <w:rFonts w:ascii="Times New Roman" w:eastAsia="Times New Roman" w:hAnsi="Times New Roman"/>
          <w:sz w:val="26"/>
          <w:szCs w:val="26"/>
          <w:lang w:val="fr-LU"/>
        </w:rPr>
      </w:pPr>
      <w:r w:rsidRPr="00452229">
        <w:rPr>
          <w:rFonts w:ascii="Arial" w:eastAsia="Times New Roman" w:hAnsi="Arial" w:cs="Arial"/>
          <w:sz w:val="22"/>
          <w:szCs w:val="22"/>
          <w:lang w:val="fr-FR"/>
        </w:rPr>
        <w:t xml:space="preserve">Etant donné que les États-Unis d’Amérique imposent leurs contribuables sur base de leur revenu mondial, toute personne considérée comme </w:t>
      </w:r>
      <w:r w:rsidRPr="00452229">
        <w:rPr>
          <w:rFonts w:ascii="Arial" w:eastAsia="Times New Roman" w:hAnsi="Arial" w:cs="Arial"/>
          <w:i/>
          <w:iCs/>
          <w:sz w:val="22"/>
          <w:szCs w:val="22"/>
          <w:lang w:val="fr-FR"/>
        </w:rPr>
        <w:t xml:space="preserve">„US person“ </w:t>
      </w:r>
      <w:r w:rsidRPr="00452229">
        <w:rPr>
          <w:rFonts w:ascii="Arial" w:eastAsia="Times New Roman" w:hAnsi="Arial" w:cs="Arial"/>
          <w:sz w:val="22"/>
          <w:szCs w:val="22"/>
          <w:lang w:val="fr-FR"/>
        </w:rPr>
        <w:t xml:space="preserve">au sens du </w:t>
      </w:r>
      <w:r w:rsidR="00CD35AC" w:rsidRPr="003A43A2">
        <w:rPr>
          <w:rFonts w:ascii="Arial" w:hAnsi="Arial" w:cs="Arial"/>
          <w:sz w:val="22"/>
          <w:szCs w:val="22"/>
          <w:lang w:val="fr-LU"/>
        </w:rPr>
        <w:t>fisc américain</w:t>
      </w:r>
      <w:r w:rsidR="00A6758D">
        <w:rPr>
          <w:rFonts w:ascii="Arial" w:hAnsi="Arial" w:cs="Arial"/>
          <w:sz w:val="22"/>
          <w:szCs w:val="22"/>
          <w:lang w:val="fr-LU"/>
        </w:rPr>
        <w:t xml:space="preserve"> </w:t>
      </w:r>
      <w:r w:rsidRPr="00452229">
        <w:rPr>
          <w:rFonts w:ascii="Arial" w:eastAsia="Times New Roman" w:hAnsi="Arial" w:cs="Arial"/>
          <w:sz w:val="22"/>
          <w:szCs w:val="22"/>
          <w:lang w:val="fr-FR"/>
        </w:rPr>
        <w:t xml:space="preserve">IRS </w:t>
      </w:r>
      <w:r w:rsidR="00C01A4E">
        <w:rPr>
          <w:rFonts w:ascii="Arial" w:eastAsia="Times New Roman" w:hAnsi="Arial" w:cs="Arial"/>
          <w:sz w:val="22"/>
          <w:szCs w:val="22"/>
          <w:lang w:val="fr-FR"/>
        </w:rPr>
        <w:t>(« Internal Revenue Service »)</w:t>
      </w:r>
      <w:r w:rsidR="00A6758D">
        <w:rPr>
          <w:rFonts w:ascii="Arial" w:eastAsia="Times New Roman" w:hAnsi="Arial" w:cs="Arial"/>
          <w:sz w:val="22"/>
          <w:szCs w:val="22"/>
          <w:lang w:val="fr-FR"/>
        </w:rPr>
        <w:t xml:space="preserve"> </w:t>
      </w:r>
      <w:r w:rsidRPr="00452229">
        <w:rPr>
          <w:rFonts w:ascii="Arial" w:eastAsia="Times New Roman" w:hAnsi="Arial" w:cs="Arial"/>
          <w:sz w:val="22"/>
          <w:szCs w:val="22"/>
          <w:lang w:val="fr-FR"/>
        </w:rPr>
        <w:t xml:space="preserve">– notion qui va pour le surcroît plus loin que le fait </w:t>
      </w:r>
      <w:r w:rsidR="00233943" w:rsidRPr="00452229">
        <w:rPr>
          <w:rFonts w:ascii="Arial" w:eastAsia="Times New Roman" w:hAnsi="Arial" w:cs="Arial"/>
          <w:sz w:val="22"/>
          <w:szCs w:val="22"/>
          <w:lang w:val="fr-FR"/>
        </w:rPr>
        <w:t xml:space="preserve">d’être </w:t>
      </w:r>
      <w:r w:rsidR="00D37606">
        <w:rPr>
          <w:rFonts w:ascii="Arial" w:eastAsia="Times New Roman" w:hAnsi="Arial" w:cs="Arial"/>
          <w:i/>
          <w:iCs/>
          <w:sz w:val="22"/>
          <w:szCs w:val="22"/>
          <w:lang w:val="fr-FR"/>
        </w:rPr>
        <w:t>« </w:t>
      </w:r>
      <w:r w:rsidR="00233943" w:rsidRPr="00452229">
        <w:rPr>
          <w:rFonts w:ascii="Arial" w:eastAsia="Times New Roman" w:hAnsi="Arial" w:cs="Arial"/>
          <w:i/>
          <w:iCs/>
          <w:sz w:val="22"/>
          <w:szCs w:val="22"/>
          <w:lang w:val="fr-FR"/>
        </w:rPr>
        <w:t>US citizen</w:t>
      </w:r>
      <w:r w:rsidR="00D37606">
        <w:rPr>
          <w:rFonts w:ascii="Arial" w:eastAsia="Times New Roman" w:hAnsi="Arial" w:cs="Arial"/>
          <w:i/>
          <w:iCs/>
          <w:sz w:val="22"/>
          <w:szCs w:val="22"/>
          <w:lang w:val="fr-FR"/>
        </w:rPr>
        <w:t> »</w:t>
      </w:r>
      <w:r w:rsidR="00233943" w:rsidRPr="00452229">
        <w:rPr>
          <w:rFonts w:ascii="Arial" w:eastAsia="Times New Roman" w:hAnsi="Arial" w:cs="Arial"/>
          <w:i/>
          <w:iCs/>
          <w:sz w:val="22"/>
          <w:szCs w:val="22"/>
          <w:lang w:val="fr-FR"/>
        </w:rPr>
        <w:t xml:space="preserve"> </w:t>
      </w:r>
      <w:r w:rsidR="00233943" w:rsidRPr="00452229">
        <w:rPr>
          <w:rFonts w:ascii="Arial" w:eastAsia="Times New Roman" w:hAnsi="Arial" w:cs="Arial"/>
          <w:sz w:val="22"/>
          <w:szCs w:val="22"/>
          <w:lang w:val="fr-FR"/>
        </w:rPr>
        <w:t xml:space="preserve">au sens des lois sur la nationalité – doit déclarer </w:t>
      </w:r>
      <w:r w:rsidR="00CD35AC">
        <w:rPr>
          <w:rFonts w:ascii="Arial" w:eastAsia="Times New Roman" w:hAnsi="Arial" w:cs="Arial"/>
          <w:sz w:val="22"/>
          <w:szCs w:val="22"/>
          <w:lang w:val="fr-FR"/>
        </w:rPr>
        <w:t xml:space="preserve">tous </w:t>
      </w:r>
      <w:r w:rsidR="00233943" w:rsidRPr="00452229">
        <w:rPr>
          <w:rFonts w:ascii="Arial" w:eastAsia="Times New Roman" w:hAnsi="Arial" w:cs="Arial"/>
          <w:sz w:val="22"/>
          <w:szCs w:val="22"/>
          <w:lang w:val="fr-FR"/>
        </w:rPr>
        <w:t>ses revenus</w:t>
      </w:r>
      <w:r w:rsidR="00CD35AC">
        <w:rPr>
          <w:rFonts w:ascii="Arial" w:eastAsia="Times New Roman" w:hAnsi="Arial" w:cs="Arial"/>
          <w:sz w:val="22"/>
          <w:szCs w:val="22"/>
          <w:lang w:val="fr-FR"/>
        </w:rPr>
        <w:t xml:space="preserve">, quelque soit la localité où ils ont été générés, </w:t>
      </w:r>
      <w:r w:rsidR="00233943" w:rsidRPr="00452229">
        <w:rPr>
          <w:rFonts w:ascii="Arial" w:eastAsia="Times New Roman" w:hAnsi="Arial" w:cs="Arial"/>
          <w:sz w:val="22"/>
          <w:szCs w:val="22"/>
          <w:lang w:val="fr-FR"/>
        </w:rPr>
        <w:t xml:space="preserve">auprès du IRS. Une fois tous les revenus </w:t>
      </w:r>
      <w:r w:rsidR="00C01A4E" w:rsidRPr="00452229">
        <w:rPr>
          <w:rFonts w:ascii="Arial" w:eastAsia="Times New Roman" w:hAnsi="Arial" w:cs="Arial"/>
          <w:sz w:val="22"/>
          <w:szCs w:val="22"/>
          <w:lang w:val="fr-FR"/>
        </w:rPr>
        <w:t>déclarés</w:t>
      </w:r>
      <w:r w:rsidR="00233943" w:rsidRPr="00452229">
        <w:rPr>
          <w:rFonts w:ascii="Arial" w:eastAsia="Times New Roman" w:hAnsi="Arial" w:cs="Arial"/>
          <w:sz w:val="22"/>
          <w:szCs w:val="22"/>
          <w:lang w:val="fr-FR"/>
        </w:rPr>
        <w:t>, un crédit d’impôt total ou partiel sur les impôts éventuellement déjà payés dans un autre pays peut être accordé sous condition qu’il existe un traité de non-double imposition entre les États-Unis et le pays en question</w:t>
      </w:r>
      <w:r w:rsidR="00CD35AC">
        <w:rPr>
          <w:rFonts w:ascii="Times New Roman" w:eastAsia="Times New Roman" w:hAnsi="Times New Roman"/>
          <w:sz w:val="26"/>
          <w:szCs w:val="26"/>
          <w:lang w:val="fr-LU"/>
        </w:rPr>
        <w:t xml:space="preserve">. </w:t>
      </w:r>
    </w:p>
    <w:p w:rsidR="00233943" w:rsidRPr="00B24189" w:rsidRDefault="00CD35AC" w:rsidP="007E788F">
      <w:pPr>
        <w:widowControl w:val="0"/>
        <w:autoSpaceDE w:val="0"/>
        <w:autoSpaceDN w:val="0"/>
        <w:adjustRightInd w:val="0"/>
        <w:jc w:val="both"/>
        <w:rPr>
          <w:rFonts w:ascii="Times New Roman" w:eastAsia="Times New Roman" w:hAnsi="Times New Roman"/>
          <w:sz w:val="26"/>
          <w:szCs w:val="26"/>
          <w:lang w:val="fr-LU"/>
        </w:rPr>
      </w:pPr>
      <w:r w:rsidRPr="00CD35AC">
        <w:rPr>
          <w:rFonts w:ascii="Arial" w:eastAsia="Times New Roman" w:hAnsi="Arial" w:cs="Arial"/>
          <w:sz w:val="22"/>
          <w:szCs w:val="22"/>
          <w:lang w:val="fr-LU"/>
        </w:rPr>
        <w:t>Or, ces derniers ne font pas partie de l’Accord sur lequel porte le présent projet de loi.</w:t>
      </w:r>
    </w:p>
    <w:p w:rsidR="007E788F" w:rsidRDefault="007E788F" w:rsidP="007E788F">
      <w:pPr>
        <w:widowControl w:val="0"/>
        <w:autoSpaceDE w:val="0"/>
        <w:autoSpaceDN w:val="0"/>
        <w:adjustRightInd w:val="0"/>
        <w:jc w:val="both"/>
        <w:rPr>
          <w:rFonts w:ascii="Arial" w:eastAsia="Times New Roman" w:hAnsi="Arial" w:cs="Arial"/>
          <w:sz w:val="22"/>
          <w:szCs w:val="22"/>
          <w:lang w:val="fr-FR"/>
        </w:rPr>
      </w:pPr>
    </w:p>
    <w:p w:rsidR="00DC2BAE" w:rsidRPr="00EA20E0" w:rsidRDefault="00CD35AC" w:rsidP="007E788F">
      <w:pPr>
        <w:widowControl w:val="0"/>
        <w:autoSpaceDE w:val="0"/>
        <w:autoSpaceDN w:val="0"/>
        <w:adjustRightInd w:val="0"/>
        <w:jc w:val="both"/>
        <w:rPr>
          <w:rFonts w:ascii="Arial" w:eastAsia="Times New Roman" w:hAnsi="Arial" w:cs="Arial"/>
          <w:sz w:val="22"/>
          <w:szCs w:val="22"/>
          <w:lang w:val="fr-FR"/>
        </w:rPr>
      </w:pPr>
      <w:r>
        <w:rPr>
          <w:rFonts w:ascii="Arial" w:eastAsia="Times New Roman" w:hAnsi="Arial" w:cs="Arial"/>
          <w:sz w:val="22"/>
          <w:szCs w:val="22"/>
          <w:lang w:val="fr-FR"/>
        </w:rPr>
        <w:t xml:space="preserve">La législation de </w:t>
      </w:r>
      <w:r w:rsidR="00C07513" w:rsidRPr="00452229">
        <w:rPr>
          <w:rFonts w:ascii="Arial" w:eastAsia="Times New Roman" w:hAnsi="Arial" w:cs="Arial"/>
          <w:sz w:val="22"/>
          <w:szCs w:val="22"/>
          <w:lang w:val="fr-FR"/>
        </w:rPr>
        <w:t xml:space="preserve">FATCA </w:t>
      </w:r>
      <w:r>
        <w:rPr>
          <w:rFonts w:ascii="Arial" w:eastAsia="Times New Roman" w:hAnsi="Arial" w:cs="Arial"/>
          <w:sz w:val="22"/>
          <w:szCs w:val="22"/>
          <w:lang w:val="fr-FR"/>
        </w:rPr>
        <w:t>cible</w:t>
      </w:r>
      <w:r w:rsidR="00594E31" w:rsidRPr="00452229">
        <w:rPr>
          <w:rFonts w:ascii="Arial" w:eastAsia="Times New Roman" w:hAnsi="Arial" w:cs="Arial"/>
          <w:sz w:val="22"/>
          <w:szCs w:val="22"/>
          <w:lang w:val="fr-FR"/>
        </w:rPr>
        <w:t xml:space="preserve"> les cas de non-observation fiscale de personnes physiques américaines possédant des compt</w:t>
      </w:r>
      <w:r>
        <w:rPr>
          <w:rFonts w:ascii="Arial" w:eastAsia="Times New Roman" w:hAnsi="Arial" w:cs="Arial"/>
          <w:sz w:val="22"/>
          <w:szCs w:val="22"/>
          <w:lang w:val="fr-FR"/>
        </w:rPr>
        <w:t>es à l’étranger. A cette fin, elle</w:t>
      </w:r>
      <w:r w:rsidR="00594E31" w:rsidRPr="00452229">
        <w:rPr>
          <w:rFonts w:ascii="Arial" w:eastAsia="Times New Roman" w:hAnsi="Arial" w:cs="Arial"/>
          <w:sz w:val="22"/>
          <w:szCs w:val="22"/>
          <w:lang w:val="fr-FR"/>
        </w:rPr>
        <w:t xml:space="preserve"> se concentre sur l</w:t>
      </w:r>
      <w:r>
        <w:rPr>
          <w:rFonts w:ascii="Arial" w:eastAsia="Times New Roman" w:hAnsi="Arial" w:cs="Arial"/>
          <w:sz w:val="22"/>
          <w:szCs w:val="22"/>
          <w:lang w:val="fr-FR"/>
        </w:rPr>
        <w:t>’obtention d’</w:t>
      </w:r>
      <w:r w:rsidR="00594E31" w:rsidRPr="00452229">
        <w:rPr>
          <w:rFonts w:ascii="Arial" w:eastAsia="Times New Roman" w:hAnsi="Arial" w:cs="Arial"/>
          <w:sz w:val="22"/>
          <w:szCs w:val="22"/>
          <w:lang w:val="fr-FR"/>
        </w:rPr>
        <w:t>information</w:t>
      </w:r>
      <w:r>
        <w:rPr>
          <w:rFonts w:ascii="Arial" w:eastAsia="Times New Roman" w:hAnsi="Arial" w:cs="Arial"/>
          <w:sz w:val="22"/>
          <w:szCs w:val="22"/>
          <w:lang w:val="fr-FR"/>
        </w:rPr>
        <w:t>s</w:t>
      </w:r>
      <w:r w:rsidR="00594E31" w:rsidRPr="00452229">
        <w:rPr>
          <w:rFonts w:ascii="Arial" w:eastAsia="Times New Roman" w:hAnsi="Arial" w:cs="Arial"/>
          <w:sz w:val="22"/>
          <w:szCs w:val="22"/>
          <w:lang w:val="fr-FR"/>
        </w:rPr>
        <w:t xml:space="preserve"> financière</w:t>
      </w:r>
      <w:r>
        <w:rPr>
          <w:rFonts w:ascii="Arial" w:eastAsia="Times New Roman" w:hAnsi="Arial" w:cs="Arial"/>
          <w:sz w:val="22"/>
          <w:szCs w:val="22"/>
          <w:lang w:val="fr-FR"/>
        </w:rPr>
        <w:t>s</w:t>
      </w:r>
      <w:r w:rsidR="00594E31" w:rsidRPr="00452229">
        <w:rPr>
          <w:rFonts w:ascii="Arial" w:eastAsia="Times New Roman" w:hAnsi="Arial" w:cs="Arial"/>
          <w:sz w:val="22"/>
          <w:szCs w:val="22"/>
          <w:lang w:val="fr-FR"/>
        </w:rPr>
        <w:t>, d’une part de personnes américaines aux comptes ou biens à l’étranger, et d’autre part d</w:t>
      </w:r>
      <w:r w:rsidR="0092580C">
        <w:rPr>
          <w:rFonts w:ascii="Arial" w:eastAsia="Times New Roman" w:hAnsi="Arial" w:cs="Arial"/>
          <w:sz w:val="22"/>
          <w:szCs w:val="22"/>
          <w:lang w:val="fr-FR"/>
        </w:rPr>
        <w:t>’i</w:t>
      </w:r>
      <w:r w:rsidR="00EA20E0" w:rsidRPr="00452229">
        <w:rPr>
          <w:rFonts w:ascii="Arial" w:eastAsia="Times New Roman" w:hAnsi="Arial" w:cs="Arial"/>
          <w:sz w:val="22"/>
          <w:szCs w:val="22"/>
          <w:lang w:val="fr-FR"/>
        </w:rPr>
        <w:t>nstitutions financières étrangères concernant des comptes de contribuables américains ou d’entités substantiellement détenues par des personnes américaines.</w:t>
      </w:r>
      <w:r w:rsidR="0038736E">
        <w:rPr>
          <w:rFonts w:ascii="Arial" w:eastAsia="Times New Roman" w:hAnsi="Arial" w:cs="Arial"/>
          <w:sz w:val="22"/>
          <w:szCs w:val="22"/>
          <w:lang w:val="fr-FR"/>
        </w:rPr>
        <w:t xml:space="preserve"> </w:t>
      </w:r>
      <w:r w:rsidR="00C01A4E">
        <w:rPr>
          <w:rFonts w:ascii="Arial" w:eastAsia="Times New Roman" w:hAnsi="Arial" w:cs="Arial"/>
          <w:sz w:val="22"/>
          <w:szCs w:val="22"/>
          <w:lang w:val="fr-FR"/>
        </w:rPr>
        <w:t>Bref, l</w:t>
      </w:r>
      <w:r w:rsidR="00594E31" w:rsidRPr="00452229">
        <w:rPr>
          <w:rFonts w:ascii="Arial" w:eastAsia="Times New Roman" w:hAnsi="Arial" w:cs="Arial"/>
          <w:sz w:val="22"/>
          <w:szCs w:val="22"/>
          <w:lang w:val="fr-FR"/>
        </w:rPr>
        <w:t>'objectif de la loi FATCA est la déclaration des avoirs financiers étrangers</w:t>
      </w:r>
      <w:r w:rsidR="0092580C">
        <w:rPr>
          <w:rFonts w:ascii="Arial" w:eastAsia="Times New Roman" w:hAnsi="Arial" w:cs="Arial"/>
          <w:sz w:val="22"/>
          <w:szCs w:val="22"/>
          <w:lang w:val="fr-FR"/>
        </w:rPr>
        <w:t xml:space="preserve"> aux Etats-Unis d’Amérique, </w:t>
      </w:r>
      <w:r w:rsidR="00EA20E0" w:rsidRPr="00452229">
        <w:rPr>
          <w:rFonts w:ascii="Arial" w:eastAsia="Times New Roman" w:hAnsi="Arial" w:cs="Arial"/>
          <w:sz w:val="22"/>
          <w:szCs w:val="22"/>
          <w:lang w:val="fr-FR"/>
        </w:rPr>
        <w:t>une retenue à la source étant le coût dans le cas</w:t>
      </w:r>
      <w:r w:rsidR="00EA20E0" w:rsidRPr="00EA20E0">
        <w:rPr>
          <w:rFonts w:ascii="Arial" w:eastAsia="Times New Roman" w:hAnsi="Arial" w:cs="Arial"/>
          <w:sz w:val="22"/>
          <w:szCs w:val="22"/>
          <w:lang w:val="fr-FR"/>
        </w:rPr>
        <w:t xml:space="preserve"> de</w:t>
      </w:r>
      <w:r w:rsidR="00594E31" w:rsidRPr="00EA20E0">
        <w:rPr>
          <w:rFonts w:ascii="Arial" w:eastAsia="Times New Roman" w:hAnsi="Arial" w:cs="Arial"/>
          <w:sz w:val="22"/>
          <w:szCs w:val="22"/>
          <w:lang w:val="fr-FR"/>
        </w:rPr>
        <w:t xml:space="preserve"> non-déclaration.</w:t>
      </w:r>
      <w:r w:rsidR="00EA20E0" w:rsidRPr="00EA20E0">
        <w:rPr>
          <w:rFonts w:ascii="Arial" w:eastAsia="Times New Roman" w:hAnsi="Arial" w:cs="Arial"/>
          <w:sz w:val="22"/>
          <w:szCs w:val="22"/>
          <w:lang w:val="fr-FR"/>
        </w:rPr>
        <w:t xml:space="preserve"> En effet, faute de cet échange d’</w:t>
      </w:r>
      <w:r w:rsidR="0092580C">
        <w:rPr>
          <w:rFonts w:ascii="Arial" w:eastAsia="Times New Roman" w:hAnsi="Arial" w:cs="Arial"/>
          <w:sz w:val="22"/>
          <w:szCs w:val="22"/>
          <w:lang w:val="fr-FR"/>
        </w:rPr>
        <w:t>informations, les i</w:t>
      </w:r>
      <w:r w:rsidR="00EA20E0" w:rsidRPr="00EA20E0">
        <w:rPr>
          <w:rFonts w:ascii="Arial" w:eastAsia="Times New Roman" w:hAnsi="Arial" w:cs="Arial"/>
          <w:sz w:val="22"/>
          <w:szCs w:val="22"/>
          <w:lang w:val="fr-FR"/>
        </w:rPr>
        <w:t xml:space="preserve">nstitutions financières concernées se verront appliquer une taxe de 30% à la source sur les revenus américains qui leur sont payés. </w:t>
      </w:r>
    </w:p>
    <w:p w:rsidR="007E788F" w:rsidRDefault="007E788F" w:rsidP="007E788F">
      <w:pPr>
        <w:widowControl w:val="0"/>
        <w:autoSpaceDE w:val="0"/>
        <w:autoSpaceDN w:val="0"/>
        <w:adjustRightInd w:val="0"/>
        <w:jc w:val="both"/>
        <w:rPr>
          <w:rFonts w:ascii="Arial" w:eastAsia="Times New Roman" w:hAnsi="Arial" w:cs="Arial"/>
          <w:sz w:val="22"/>
          <w:szCs w:val="22"/>
          <w:u w:val="single"/>
          <w:lang w:val="fr-FR"/>
        </w:rPr>
      </w:pPr>
    </w:p>
    <w:p w:rsidR="00F11ACA" w:rsidRPr="00F11ACA" w:rsidRDefault="00F11ACA" w:rsidP="007E788F">
      <w:pPr>
        <w:widowControl w:val="0"/>
        <w:autoSpaceDE w:val="0"/>
        <w:autoSpaceDN w:val="0"/>
        <w:adjustRightInd w:val="0"/>
        <w:jc w:val="both"/>
        <w:rPr>
          <w:rFonts w:ascii="Arial" w:eastAsia="Times New Roman" w:hAnsi="Arial" w:cs="Arial"/>
          <w:sz w:val="22"/>
          <w:szCs w:val="22"/>
          <w:u w:val="single"/>
          <w:lang w:val="fr-FR"/>
        </w:rPr>
      </w:pPr>
      <w:r w:rsidRPr="00F11ACA">
        <w:rPr>
          <w:rFonts w:ascii="Arial" w:eastAsia="Times New Roman" w:hAnsi="Arial" w:cs="Arial"/>
          <w:sz w:val="22"/>
          <w:szCs w:val="22"/>
          <w:u w:val="single"/>
          <w:lang w:val="fr-FR"/>
        </w:rPr>
        <w:t>Un accord bilatéral</w:t>
      </w:r>
      <w:r>
        <w:rPr>
          <w:rFonts w:ascii="Arial" w:eastAsia="Times New Roman" w:hAnsi="Arial" w:cs="Arial"/>
          <w:sz w:val="22"/>
          <w:szCs w:val="22"/>
          <w:u w:val="single"/>
          <w:lang w:val="fr-FR"/>
        </w:rPr>
        <w:t xml:space="preserve"> en 2014</w:t>
      </w:r>
      <w:r w:rsidR="00A6758D">
        <w:rPr>
          <w:rFonts w:ascii="Arial" w:eastAsia="Times New Roman" w:hAnsi="Arial" w:cs="Arial"/>
          <w:sz w:val="22"/>
          <w:szCs w:val="22"/>
          <w:u w:val="single"/>
          <w:lang w:val="fr-FR"/>
        </w:rPr>
        <w:t xml:space="preserve"> </w:t>
      </w:r>
      <w:r w:rsidR="00C01A4E" w:rsidRPr="00C01A4E">
        <w:rPr>
          <w:rFonts w:ascii="Arial" w:eastAsia="Times New Roman" w:hAnsi="Arial" w:cs="Arial"/>
          <w:sz w:val="22"/>
          <w:szCs w:val="22"/>
          <w:u w:val="single"/>
          <w:lang w:val="fr-FR"/>
        </w:rPr>
        <w:t>entre le Grand-Duché et les Etats-Unis d’Amérique</w:t>
      </w:r>
    </w:p>
    <w:p w:rsidR="007E788F" w:rsidRDefault="007E788F" w:rsidP="007E788F">
      <w:pPr>
        <w:widowControl w:val="0"/>
        <w:tabs>
          <w:tab w:val="left" w:pos="220"/>
          <w:tab w:val="left" w:pos="720"/>
        </w:tabs>
        <w:autoSpaceDE w:val="0"/>
        <w:autoSpaceDN w:val="0"/>
        <w:adjustRightInd w:val="0"/>
        <w:jc w:val="both"/>
        <w:rPr>
          <w:rFonts w:ascii="Arial" w:eastAsia="Times New Roman" w:hAnsi="Arial" w:cs="Arial"/>
          <w:sz w:val="22"/>
          <w:szCs w:val="22"/>
          <w:lang w:val="fr-FR"/>
        </w:rPr>
      </w:pPr>
    </w:p>
    <w:p w:rsidR="00F11ACA" w:rsidRPr="00C01A4E" w:rsidRDefault="00EA20E0" w:rsidP="007E788F">
      <w:pPr>
        <w:widowControl w:val="0"/>
        <w:tabs>
          <w:tab w:val="left" w:pos="220"/>
          <w:tab w:val="left" w:pos="720"/>
        </w:tabs>
        <w:autoSpaceDE w:val="0"/>
        <w:autoSpaceDN w:val="0"/>
        <w:adjustRightInd w:val="0"/>
        <w:jc w:val="both"/>
        <w:rPr>
          <w:rFonts w:ascii="Arial" w:eastAsia="Times New Roman" w:hAnsi="Arial" w:cs="Arial"/>
          <w:sz w:val="22"/>
          <w:szCs w:val="22"/>
          <w:lang w:val="fr-FR"/>
        </w:rPr>
      </w:pPr>
      <w:r w:rsidRPr="00EA20E0">
        <w:rPr>
          <w:rFonts w:ascii="Arial" w:eastAsia="Times New Roman" w:hAnsi="Arial" w:cs="Arial"/>
          <w:sz w:val="22"/>
          <w:szCs w:val="22"/>
          <w:lang w:val="fr-FR"/>
        </w:rPr>
        <w:t xml:space="preserve">C’est </w:t>
      </w:r>
      <w:r w:rsidRPr="00C617BC">
        <w:rPr>
          <w:rFonts w:ascii="Arial" w:eastAsia="Times New Roman" w:hAnsi="Arial" w:cs="Arial"/>
          <w:sz w:val="22"/>
          <w:szCs w:val="22"/>
          <w:lang w:val="fr-FR"/>
        </w:rPr>
        <w:t>dans cette optique</w:t>
      </w:r>
      <w:r w:rsidR="0092580C">
        <w:rPr>
          <w:rFonts w:ascii="Arial" w:eastAsia="Times New Roman" w:hAnsi="Arial" w:cs="Arial"/>
          <w:sz w:val="22"/>
          <w:szCs w:val="22"/>
          <w:lang w:val="fr-FR"/>
        </w:rPr>
        <w:t xml:space="preserve"> de minimiser les pratiques d’évasion fiscale</w:t>
      </w:r>
      <w:r w:rsidRPr="00C617BC">
        <w:rPr>
          <w:rFonts w:ascii="Arial" w:eastAsia="Times New Roman" w:hAnsi="Arial" w:cs="Arial"/>
          <w:sz w:val="22"/>
          <w:szCs w:val="22"/>
          <w:lang w:val="fr-FR"/>
        </w:rPr>
        <w:t xml:space="preserve"> qu’en juillet </w:t>
      </w:r>
      <w:r w:rsidRPr="00C617BC">
        <w:rPr>
          <w:rFonts w:ascii="Arial" w:eastAsia="Times New Roman" w:hAnsi="Arial" w:cs="Arial"/>
          <w:sz w:val="22"/>
          <w:szCs w:val="22"/>
          <w:lang w:val="fr-FR"/>
        </w:rPr>
        <w:lastRenderedPageBreak/>
        <w:t xml:space="preserve">2012, les Etats-Unis d’Amérique ont proposé à leurs partenaires, dont le Luxembourg, de conclure des accords bilatéraux pour faciliter la mise en </w:t>
      </w:r>
      <w:r w:rsidR="00DE583D">
        <w:rPr>
          <w:rFonts w:ascii="Arial" w:eastAsia="Times New Roman" w:hAnsi="Arial" w:cs="Arial"/>
          <w:sz w:val="22"/>
          <w:szCs w:val="22"/>
          <w:lang w:val="fr-FR"/>
        </w:rPr>
        <w:t>œuvre</w:t>
      </w:r>
      <w:r w:rsidRPr="00C617BC">
        <w:rPr>
          <w:rFonts w:ascii="Arial" w:eastAsia="Times New Roman" w:hAnsi="Arial" w:cs="Arial"/>
          <w:sz w:val="22"/>
          <w:szCs w:val="22"/>
          <w:lang w:val="fr-FR"/>
        </w:rPr>
        <w:t xml:space="preserve"> de cet échange automatique d</w:t>
      </w:r>
      <w:r w:rsidR="0092580C">
        <w:rPr>
          <w:rFonts w:ascii="Arial" w:eastAsia="Times New Roman" w:hAnsi="Arial" w:cs="Arial"/>
          <w:sz w:val="22"/>
          <w:szCs w:val="22"/>
          <w:lang w:val="fr-FR"/>
        </w:rPr>
        <w:t>’informations. L’Accord signé le 28 mars</w:t>
      </w:r>
      <w:r w:rsidRPr="00C617BC">
        <w:rPr>
          <w:rFonts w:ascii="Arial" w:eastAsia="Times New Roman" w:hAnsi="Arial" w:cs="Arial"/>
          <w:sz w:val="22"/>
          <w:szCs w:val="22"/>
          <w:lang w:val="fr-FR"/>
        </w:rPr>
        <w:t xml:space="preserve"> 2014 </w:t>
      </w:r>
      <w:r w:rsidR="00C01A4E" w:rsidRPr="00EA20E0">
        <w:rPr>
          <w:rFonts w:ascii="Arial" w:eastAsia="Times New Roman" w:hAnsi="Arial" w:cs="Arial"/>
          <w:sz w:val="22"/>
          <w:szCs w:val="22"/>
          <w:lang w:val="fr-FR"/>
        </w:rPr>
        <w:t>entre le Gouvernement du Grand-Duché de Luxembour</w:t>
      </w:r>
      <w:r w:rsidR="00C01A4E">
        <w:rPr>
          <w:rFonts w:ascii="Arial" w:eastAsia="Times New Roman" w:hAnsi="Arial" w:cs="Arial"/>
          <w:sz w:val="22"/>
          <w:szCs w:val="22"/>
          <w:lang w:val="fr-FR"/>
        </w:rPr>
        <w:t>g et le Gouvernement des Etats-</w:t>
      </w:r>
      <w:r w:rsidR="00C01A4E" w:rsidRPr="00EA20E0">
        <w:rPr>
          <w:rFonts w:ascii="Arial" w:eastAsia="Times New Roman" w:hAnsi="Arial" w:cs="Arial"/>
          <w:sz w:val="22"/>
          <w:szCs w:val="22"/>
          <w:lang w:val="fr-FR"/>
        </w:rPr>
        <w:t>Unis d’Amérique</w:t>
      </w:r>
      <w:r w:rsidR="00C1751E">
        <w:rPr>
          <w:rFonts w:ascii="Arial" w:eastAsia="Times New Roman" w:hAnsi="Arial" w:cs="Arial"/>
          <w:sz w:val="22"/>
          <w:szCs w:val="22"/>
          <w:lang w:val="fr-FR"/>
        </w:rPr>
        <w:t xml:space="preserve"> </w:t>
      </w:r>
      <w:r w:rsidRPr="00C617BC">
        <w:rPr>
          <w:rFonts w:ascii="Arial" w:eastAsia="Times New Roman" w:hAnsi="Arial" w:cs="Arial"/>
          <w:sz w:val="22"/>
          <w:szCs w:val="22"/>
          <w:lang w:val="fr-FR"/>
        </w:rPr>
        <w:t xml:space="preserve">définit </w:t>
      </w:r>
      <w:r w:rsidR="0092580C">
        <w:rPr>
          <w:rFonts w:ascii="Arial" w:eastAsia="Times New Roman" w:hAnsi="Arial" w:cs="Arial"/>
          <w:sz w:val="22"/>
          <w:szCs w:val="22"/>
          <w:lang w:val="fr-FR"/>
        </w:rPr>
        <w:t>les types d’information</w:t>
      </w:r>
      <w:r w:rsidR="00A6758D">
        <w:rPr>
          <w:rFonts w:ascii="Arial" w:eastAsia="Times New Roman" w:hAnsi="Arial" w:cs="Arial"/>
          <w:sz w:val="22"/>
          <w:szCs w:val="22"/>
          <w:lang w:val="fr-FR"/>
        </w:rPr>
        <w:t xml:space="preserve"> que les p</w:t>
      </w:r>
      <w:r w:rsidRPr="00C617BC">
        <w:rPr>
          <w:rFonts w:ascii="Arial" w:eastAsia="Times New Roman" w:hAnsi="Arial" w:cs="Arial"/>
          <w:sz w:val="22"/>
          <w:szCs w:val="22"/>
          <w:lang w:val="fr-FR"/>
        </w:rPr>
        <w:t xml:space="preserve">arties entendent échanger automatiquement </w:t>
      </w:r>
      <w:r w:rsidR="00C617BC" w:rsidRPr="00C617BC">
        <w:rPr>
          <w:rFonts w:ascii="Arial" w:eastAsia="Times New Roman" w:hAnsi="Arial" w:cs="Arial"/>
          <w:sz w:val="22"/>
          <w:szCs w:val="22"/>
          <w:lang w:val="fr-FR"/>
        </w:rPr>
        <w:t>(entre autres : nom et adresse du titulaire du comp</w:t>
      </w:r>
      <w:r w:rsidR="0092580C">
        <w:rPr>
          <w:rFonts w:ascii="Arial" w:eastAsia="Times New Roman" w:hAnsi="Arial" w:cs="Arial"/>
          <w:sz w:val="22"/>
          <w:szCs w:val="22"/>
          <w:lang w:val="fr-FR"/>
        </w:rPr>
        <w:t>te, numéro du compte, nom de l’i</w:t>
      </w:r>
      <w:r w:rsidR="00C617BC" w:rsidRPr="00C617BC">
        <w:rPr>
          <w:rFonts w:ascii="Arial" w:eastAsia="Times New Roman" w:hAnsi="Arial" w:cs="Arial"/>
          <w:sz w:val="22"/>
          <w:szCs w:val="22"/>
          <w:lang w:val="fr-FR"/>
        </w:rPr>
        <w:t>nstitution financière communicante luxembourgeoi</w:t>
      </w:r>
      <w:r w:rsidR="00233943">
        <w:rPr>
          <w:rFonts w:ascii="Arial" w:eastAsia="Times New Roman" w:hAnsi="Arial" w:cs="Arial"/>
          <w:sz w:val="22"/>
          <w:szCs w:val="22"/>
          <w:lang w:val="fr-FR"/>
        </w:rPr>
        <w:t>se, solde ou valeur du compte</w:t>
      </w:r>
      <w:r w:rsidR="00C617BC" w:rsidRPr="00C617BC">
        <w:rPr>
          <w:rFonts w:ascii="Arial" w:eastAsia="Times New Roman" w:hAnsi="Arial" w:cs="Arial"/>
          <w:sz w:val="22"/>
          <w:szCs w:val="22"/>
          <w:lang w:val="fr-FR"/>
        </w:rPr>
        <w:t xml:space="preserve">) </w:t>
      </w:r>
      <w:r w:rsidRPr="00C617BC">
        <w:rPr>
          <w:rFonts w:ascii="Arial" w:eastAsia="Times New Roman" w:hAnsi="Arial" w:cs="Arial"/>
          <w:sz w:val="22"/>
          <w:szCs w:val="22"/>
          <w:lang w:val="fr-FR"/>
        </w:rPr>
        <w:t xml:space="preserve">ainsi que le calendrier d’introduction et les conditions de mise en </w:t>
      </w:r>
      <w:r w:rsidR="00DE583D" w:rsidRPr="003A43A2">
        <w:rPr>
          <w:rFonts w:ascii="Arial" w:hAnsi="Arial" w:cs="Arial"/>
          <w:sz w:val="22"/>
          <w:szCs w:val="22"/>
          <w:lang w:val="fr-LU"/>
        </w:rPr>
        <w:t>œuvre</w:t>
      </w:r>
      <w:r w:rsidR="0092580C">
        <w:rPr>
          <w:rFonts w:ascii="Arial" w:eastAsia="Times New Roman" w:hAnsi="Arial" w:cs="Arial"/>
          <w:sz w:val="22"/>
          <w:szCs w:val="22"/>
          <w:lang w:val="fr-FR"/>
        </w:rPr>
        <w:t xml:space="preserve"> de cet échange</w:t>
      </w:r>
      <w:r w:rsidR="00F11ACA" w:rsidRPr="00C617BC">
        <w:rPr>
          <w:rFonts w:ascii="Arial" w:eastAsia="Times New Roman" w:hAnsi="Arial" w:cs="Arial"/>
          <w:sz w:val="22"/>
          <w:szCs w:val="22"/>
          <w:lang w:val="fr-FR"/>
        </w:rPr>
        <w:t>. De plus, les deux part</w:t>
      </w:r>
      <w:r w:rsidR="00D37606">
        <w:rPr>
          <w:rFonts w:ascii="Arial" w:eastAsia="Times New Roman" w:hAnsi="Arial" w:cs="Arial"/>
          <w:sz w:val="22"/>
          <w:szCs w:val="22"/>
          <w:lang w:val="fr-FR"/>
        </w:rPr>
        <w:t>ies contractantes ont signé un « </w:t>
      </w:r>
      <w:r w:rsidR="00F11ACA" w:rsidRPr="00C617BC">
        <w:rPr>
          <w:rFonts w:ascii="Arial" w:eastAsia="Times New Roman" w:hAnsi="Arial" w:cs="Arial"/>
          <w:sz w:val="22"/>
          <w:szCs w:val="22"/>
          <w:lang w:val="fr-FR"/>
        </w:rPr>
        <w:t>Memorandum of Understanding</w:t>
      </w:r>
      <w:r w:rsidR="00D37606">
        <w:rPr>
          <w:rFonts w:ascii="Arial" w:eastAsia="Times New Roman" w:hAnsi="Arial" w:cs="Arial"/>
          <w:sz w:val="22"/>
          <w:szCs w:val="22"/>
          <w:lang w:val="fr-FR"/>
        </w:rPr>
        <w:t> »</w:t>
      </w:r>
      <w:r w:rsidR="00F11ACA" w:rsidRPr="00C617BC">
        <w:rPr>
          <w:rFonts w:ascii="Arial" w:eastAsia="Times New Roman" w:hAnsi="Arial" w:cs="Arial"/>
          <w:sz w:val="22"/>
          <w:szCs w:val="22"/>
          <w:lang w:val="fr-FR"/>
        </w:rPr>
        <w:t xml:space="preserve"> (MOU) qui détermine un régime d’application transitoire et l</w:t>
      </w:r>
      <w:r w:rsidR="007013FA" w:rsidRPr="00C617BC">
        <w:rPr>
          <w:rFonts w:ascii="Arial" w:eastAsia="Times New Roman" w:hAnsi="Arial" w:cs="Arial"/>
          <w:sz w:val="22"/>
          <w:szCs w:val="22"/>
          <w:lang w:val="fr-FR"/>
        </w:rPr>
        <w:t>e système d’enregistrement des i</w:t>
      </w:r>
      <w:r w:rsidR="00F11ACA" w:rsidRPr="00C617BC">
        <w:rPr>
          <w:rFonts w:ascii="Arial" w:eastAsia="Times New Roman" w:hAnsi="Arial" w:cs="Arial"/>
          <w:sz w:val="22"/>
          <w:szCs w:val="22"/>
          <w:lang w:val="fr-FR"/>
        </w:rPr>
        <w:t>nstitutions financières</w:t>
      </w:r>
      <w:r w:rsidR="00C01A4E">
        <w:rPr>
          <w:rFonts w:ascii="Arial" w:eastAsia="Times New Roman" w:hAnsi="Arial" w:cs="Arial"/>
          <w:sz w:val="22"/>
          <w:szCs w:val="22"/>
          <w:lang w:val="fr-FR"/>
        </w:rPr>
        <w:t xml:space="preserve"> luxembourgeoises </w:t>
      </w:r>
      <w:r w:rsidR="00C01A4E" w:rsidRPr="00C617BC">
        <w:rPr>
          <w:rFonts w:ascii="Arial" w:eastAsia="Times New Roman" w:hAnsi="Arial" w:cs="Arial"/>
          <w:sz w:val="22"/>
          <w:szCs w:val="22"/>
          <w:lang w:val="fr-FR"/>
        </w:rPr>
        <w:t>auprès de l’IRS</w:t>
      </w:r>
      <w:r w:rsidR="00C01A4E">
        <w:rPr>
          <w:rFonts w:ascii="Arial" w:eastAsia="Times New Roman" w:hAnsi="Arial" w:cs="Arial"/>
          <w:sz w:val="22"/>
          <w:szCs w:val="22"/>
          <w:lang w:val="fr-FR"/>
        </w:rPr>
        <w:t>.</w:t>
      </w:r>
    </w:p>
    <w:p w:rsidR="007E788F" w:rsidRDefault="007E788F" w:rsidP="007E788F">
      <w:pPr>
        <w:widowControl w:val="0"/>
        <w:autoSpaceDE w:val="0"/>
        <w:autoSpaceDN w:val="0"/>
        <w:adjustRightInd w:val="0"/>
        <w:jc w:val="both"/>
        <w:rPr>
          <w:rFonts w:ascii="Arial" w:eastAsia="Times New Roman" w:hAnsi="Arial" w:cs="Arial"/>
          <w:sz w:val="22"/>
          <w:szCs w:val="22"/>
          <w:u w:val="single"/>
          <w:lang w:val="fr-FR"/>
        </w:rPr>
      </w:pPr>
    </w:p>
    <w:p w:rsidR="00F11ACA" w:rsidRPr="00F11ACA" w:rsidRDefault="00F11ACA" w:rsidP="007E788F">
      <w:pPr>
        <w:widowControl w:val="0"/>
        <w:autoSpaceDE w:val="0"/>
        <w:autoSpaceDN w:val="0"/>
        <w:adjustRightInd w:val="0"/>
        <w:jc w:val="both"/>
        <w:rPr>
          <w:rFonts w:ascii="Arial" w:eastAsia="Times New Roman" w:hAnsi="Arial" w:cs="Arial"/>
          <w:sz w:val="22"/>
          <w:szCs w:val="22"/>
          <w:u w:val="single"/>
          <w:lang w:val="fr-FR"/>
        </w:rPr>
      </w:pPr>
      <w:r w:rsidRPr="00F11ACA">
        <w:rPr>
          <w:rFonts w:ascii="Arial" w:eastAsia="Times New Roman" w:hAnsi="Arial" w:cs="Arial"/>
          <w:sz w:val="22"/>
          <w:szCs w:val="22"/>
          <w:u w:val="single"/>
          <w:lang w:val="fr-FR"/>
        </w:rPr>
        <w:t>Le mode de fonctionnement</w:t>
      </w:r>
    </w:p>
    <w:p w:rsidR="007E788F" w:rsidRDefault="007E788F" w:rsidP="007E788F">
      <w:pPr>
        <w:widowControl w:val="0"/>
        <w:autoSpaceDE w:val="0"/>
        <w:autoSpaceDN w:val="0"/>
        <w:adjustRightInd w:val="0"/>
        <w:jc w:val="both"/>
        <w:rPr>
          <w:rFonts w:ascii="Arial" w:eastAsia="Times New Roman" w:hAnsi="Arial" w:cs="Arial"/>
          <w:sz w:val="22"/>
          <w:szCs w:val="22"/>
          <w:lang w:val="fr-FR"/>
        </w:rPr>
      </w:pPr>
    </w:p>
    <w:p w:rsidR="00AB34B5" w:rsidRDefault="0092580C" w:rsidP="007E788F">
      <w:pPr>
        <w:widowControl w:val="0"/>
        <w:autoSpaceDE w:val="0"/>
        <w:autoSpaceDN w:val="0"/>
        <w:adjustRightInd w:val="0"/>
        <w:jc w:val="both"/>
        <w:rPr>
          <w:rFonts w:ascii="Arial" w:hAnsi="Arial" w:cs="Arial"/>
          <w:sz w:val="22"/>
          <w:szCs w:val="22"/>
          <w:lang w:val="fr-FR"/>
        </w:rPr>
      </w:pPr>
      <w:r>
        <w:rPr>
          <w:rFonts w:ascii="Arial" w:eastAsia="Times New Roman" w:hAnsi="Arial" w:cs="Arial"/>
          <w:sz w:val="22"/>
          <w:szCs w:val="22"/>
          <w:lang w:val="fr-FR"/>
        </w:rPr>
        <w:t>Pour le Luxembourg, l</w:t>
      </w:r>
      <w:r w:rsidR="00AB34B5" w:rsidRPr="00C617BC">
        <w:rPr>
          <w:rFonts w:ascii="Arial" w:eastAsia="Times New Roman" w:hAnsi="Arial" w:cs="Arial"/>
          <w:sz w:val="22"/>
          <w:szCs w:val="22"/>
          <w:lang w:val="fr-FR"/>
        </w:rPr>
        <w:t xml:space="preserve">’Administration des contributions directes </w:t>
      </w:r>
      <w:r w:rsidR="00F11ACA" w:rsidRPr="00C617BC">
        <w:rPr>
          <w:rFonts w:ascii="Arial" w:eastAsia="Times New Roman" w:hAnsi="Arial" w:cs="Arial"/>
          <w:sz w:val="22"/>
          <w:szCs w:val="22"/>
          <w:lang w:val="fr-FR"/>
        </w:rPr>
        <w:t xml:space="preserve">(ACD) </w:t>
      </w:r>
      <w:r w:rsidR="00AB34B5" w:rsidRPr="00C617BC">
        <w:rPr>
          <w:rFonts w:ascii="Arial" w:eastAsia="Times New Roman" w:hAnsi="Arial" w:cs="Arial"/>
          <w:sz w:val="22"/>
          <w:szCs w:val="22"/>
          <w:lang w:val="fr-FR"/>
        </w:rPr>
        <w:t xml:space="preserve">est l’Autorité </w:t>
      </w:r>
      <w:r w:rsidR="00AB34B5" w:rsidRPr="00226E6F">
        <w:rPr>
          <w:rFonts w:ascii="Arial" w:eastAsia="Times New Roman" w:hAnsi="Arial" w:cs="Arial"/>
          <w:sz w:val="22"/>
          <w:szCs w:val="22"/>
          <w:lang w:val="fr-FR"/>
        </w:rPr>
        <w:t>compétente par délégation. Les informations respectives sont à fournir, annuellement et dans la forme prescrite</w:t>
      </w:r>
      <w:r w:rsidR="00F11ACA" w:rsidRPr="00226E6F">
        <w:rPr>
          <w:rFonts w:ascii="Arial" w:eastAsia="Times New Roman" w:hAnsi="Arial" w:cs="Arial"/>
          <w:sz w:val="22"/>
          <w:szCs w:val="22"/>
          <w:lang w:val="fr-FR"/>
        </w:rPr>
        <w:t>,</w:t>
      </w:r>
      <w:r w:rsidR="00AB34B5" w:rsidRPr="00226E6F">
        <w:rPr>
          <w:rFonts w:ascii="Arial" w:eastAsia="Times New Roman" w:hAnsi="Arial" w:cs="Arial"/>
          <w:sz w:val="22"/>
          <w:szCs w:val="22"/>
          <w:lang w:val="fr-FR"/>
        </w:rPr>
        <w:t xml:space="preserve"> jusqu’au 30 juin après la fin de l’année civile </w:t>
      </w:r>
      <w:r w:rsidR="00AB34B5" w:rsidRPr="004F4175">
        <w:rPr>
          <w:rFonts w:ascii="Arial" w:eastAsia="Times New Roman" w:hAnsi="Arial" w:cs="Arial"/>
          <w:sz w:val="22"/>
          <w:szCs w:val="22"/>
          <w:lang w:val="fr-FR"/>
        </w:rPr>
        <w:t xml:space="preserve">à </w:t>
      </w:r>
      <w:r w:rsidR="00F11ACA" w:rsidRPr="004F4175">
        <w:rPr>
          <w:rFonts w:ascii="Arial" w:eastAsia="Times New Roman" w:hAnsi="Arial" w:cs="Arial"/>
          <w:sz w:val="22"/>
          <w:szCs w:val="22"/>
          <w:lang w:val="fr-FR"/>
        </w:rPr>
        <w:t>laque</w:t>
      </w:r>
      <w:r w:rsidR="00233943" w:rsidRPr="004F4175">
        <w:rPr>
          <w:rFonts w:ascii="Arial" w:eastAsia="Times New Roman" w:hAnsi="Arial" w:cs="Arial"/>
          <w:sz w:val="22"/>
          <w:szCs w:val="22"/>
          <w:lang w:val="fr-FR"/>
        </w:rPr>
        <w:t>lle elles font référence</w:t>
      </w:r>
      <w:r w:rsidR="00C01A4E" w:rsidRPr="004F4175">
        <w:rPr>
          <w:rFonts w:ascii="Arial" w:eastAsia="Times New Roman" w:hAnsi="Arial" w:cs="Arial"/>
          <w:sz w:val="22"/>
          <w:szCs w:val="22"/>
          <w:lang w:val="fr-FR"/>
        </w:rPr>
        <w:t>, au IRS</w:t>
      </w:r>
      <w:r w:rsidR="00F11ACA" w:rsidRPr="004F4175">
        <w:rPr>
          <w:rFonts w:ascii="Arial" w:eastAsia="Times New Roman" w:hAnsi="Arial" w:cs="Arial"/>
          <w:sz w:val="22"/>
          <w:szCs w:val="22"/>
          <w:lang w:val="fr-FR"/>
        </w:rPr>
        <w:t>.</w:t>
      </w:r>
      <w:r w:rsidR="0038736E" w:rsidRPr="004F4175">
        <w:rPr>
          <w:rFonts w:ascii="Arial" w:eastAsia="Times New Roman" w:hAnsi="Arial" w:cs="Arial"/>
          <w:sz w:val="22"/>
          <w:szCs w:val="22"/>
          <w:lang w:val="fr-FR"/>
        </w:rPr>
        <w:t xml:space="preserve"> </w:t>
      </w:r>
      <w:r w:rsidR="00226E6F" w:rsidRPr="004F4175">
        <w:rPr>
          <w:rFonts w:ascii="Arial" w:eastAsia="Times New Roman" w:hAnsi="Arial" w:cs="Arial"/>
          <w:sz w:val="22"/>
          <w:szCs w:val="22"/>
          <w:lang w:val="fr-FR"/>
        </w:rPr>
        <w:t>Or, il est à remarquer que cette date est reportée au 31 juillet 2015 par les autorités fiscales nationales sur base de l’article 83(1) de la loi modifiée du 4 décembre 1967 concernant l´impôt sur le revenu.</w:t>
      </w:r>
      <w:r w:rsidR="0038736E" w:rsidRPr="004F4175">
        <w:rPr>
          <w:rFonts w:ascii="Arial" w:eastAsia="Times New Roman" w:hAnsi="Arial" w:cs="Arial"/>
          <w:sz w:val="22"/>
          <w:szCs w:val="22"/>
          <w:lang w:val="fr-FR"/>
        </w:rPr>
        <w:t xml:space="preserve"> </w:t>
      </w:r>
      <w:r w:rsidR="00AB34B5" w:rsidRPr="004F4175">
        <w:rPr>
          <w:rFonts w:ascii="Arial" w:hAnsi="Arial" w:cs="Arial"/>
          <w:sz w:val="22"/>
          <w:szCs w:val="22"/>
          <w:lang w:val="fr-FR"/>
        </w:rPr>
        <w:t>L’Accord prévoit un premier échange d’informations</w:t>
      </w:r>
      <w:r w:rsidR="00AB34B5" w:rsidRPr="007233DA">
        <w:rPr>
          <w:rFonts w:ascii="Arial" w:hAnsi="Arial" w:cs="Arial"/>
          <w:sz w:val="22"/>
          <w:szCs w:val="22"/>
          <w:lang w:val="fr-FR"/>
        </w:rPr>
        <w:t xml:space="preserve"> en septembre 2015.</w:t>
      </w:r>
    </w:p>
    <w:p w:rsidR="0038736E" w:rsidRPr="007233DA" w:rsidRDefault="0038736E" w:rsidP="007E788F">
      <w:pPr>
        <w:widowControl w:val="0"/>
        <w:autoSpaceDE w:val="0"/>
        <w:autoSpaceDN w:val="0"/>
        <w:adjustRightInd w:val="0"/>
        <w:jc w:val="both"/>
        <w:rPr>
          <w:rFonts w:ascii="Arial" w:eastAsia="Times New Roman" w:hAnsi="Arial" w:cs="Arial"/>
          <w:color w:val="C0504D"/>
          <w:sz w:val="22"/>
          <w:szCs w:val="22"/>
          <w:lang w:val="fr-FR"/>
        </w:rPr>
      </w:pPr>
    </w:p>
    <w:p w:rsidR="00C01A4E" w:rsidRPr="0038736E" w:rsidRDefault="00F11ACA" w:rsidP="007E788F">
      <w:pPr>
        <w:pStyle w:val="Paragraphedeliste"/>
        <w:widowControl w:val="0"/>
        <w:numPr>
          <w:ilvl w:val="0"/>
          <w:numId w:val="40"/>
        </w:numPr>
        <w:autoSpaceDE w:val="0"/>
        <w:autoSpaceDN w:val="0"/>
        <w:adjustRightInd w:val="0"/>
        <w:spacing w:after="0" w:line="240" w:lineRule="auto"/>
        <w:ind w:left="284"/>
        <w:jc w:val="both"/>
        <w:rPr>
          <w:rFonts w:ascii="Arial" w:eastAsia="Times New Roman" w:hAnsi="Arial" w:cs="Arial"/>
          <w:bCs/>
          <w:iCs/>
        </w:rPr>
      </w:pPr>
      <w:r w:rsidRPr="00C01A4E">
        <w:rPr>
          <w:rFonts w:ascii="Arial" w:hAnsi="Arial" w:cs="Arial"/>
        </w:rPr>
        <w:t xml:space="preserve">Le projet de loi sous rubrique prévoit </w:t>
      </w:r>
      <w:r w:rsidR="00C01A4E" w:rsidRPr="00C01A4E">
        <w:rPr>
          <w:rFonts w:ascii="Arial" w:hAnsi="Arial" w:cs="Arial"/>
        </w:rPr>
        <w:t xml:space="preserve">en outre </w:t>
      </w:r>
      <w:r w:rsidRPr="00C01A4E">
        <w:rPr>
          <w:rFonts w:ascii="Arial" w:hAnsi="Arial" w:cs="Arial"/>
        </w:rPr>
        <w:t>des sanctions administratives spécifiques qui pourront être infligées par le bureau de la retenue d’impôt sur les intérêts aux institutions financières luxembourgeoises qui n’auront pas respecté les obligations prévues par FATCA.</w:t>
      </w:r>
    </w:p>
    <w:p w:rsidR="00C01A4E" w:rsidRPr="0038736E" w:rsidRDefault="007013FA" w:rsidP="007E788F">
      <w:pPr>
        <w:pStyle w:val="Paragraphedeliste"/>
        <w:widowControl w:val="0"/>
        <w:numPr>
          <w:ilvl w:val="0"/>
          <w:numId w:val="40"/>
        </w:numPr>
        <w:autoSpaceDE w:val="0"/>
        <w:autoSpaceDN w:val="0"/>
        <w:adjustRightInd w:val="0"/>
        <w:spacing w:after="0" w:line="240" w:lineRule="auto"/>
        <w:ind w:left="284"/>
        <w:jc w:val="both"/>
        <w:rPr>
          <w:rFonts w:ascii="Arial" w:eastAsia="Times New Roman" w:hAnsi="Arial" w:cs="Arial"/>
          <w:bCs/>
          <w:iCs/>
        </w:rPr>
      </w:pPr>
      <w:r w:rsidRPr="00C01A4E">
        <w:rPr>
          <w:rFonts w:ascii="Arial" w:hAnsi="Arial" w:cs="Arial"/>
        </w:rPr>
        <w:t>Il existe éga</w:t>
      </w:r>
      <w:r w:rsidR="0092580C">
        <w:rPr>
          <w:rFonts w:ascii="Arial" w:hAnsi="Arial" w:cs="Arial"/>
        </w:rPr>
        <w:t>lement la possibilité pour les i</w:t>
      </w:r>
      <w:r w:rsidRPr="00C01A4E">
        <w:rPr>
          <w:rFonts w:ascii="Arial" w:hAnsi="Arial" w:cs="Arial"/>
        </w:rPr>
        <w:t xml:space="preserve">nstitutions financières déclarantes luxembourgeoises de charger un prestataire de service tiers de l’exécution de leurs obligations. Or un transfert de </w:t>
      </w:r>
      <w:r w:rsidR="00C01A4E">
        <w:rPr>
          <w:rFonts w:ascii="Arial" w:hAnsi="Arial" w:cs="Arial"/>
        </w:rPr>
        <w:t>responsabilité n’est pas admis.</w:t>
      </w:r>
    </w:p>
    <w:p w:rsidR="00324255" w:rsidRPr="00324255" w:rsidRDefault="007013FA" w:rsidP="007E788F">
      <w:pPr>
        <w:pStyle w:val="Paragraphedeliste"/>
        <w:widowControl w:val="0"/>
        <w:numPr>
          <w:ilvl w:val="0"/>
          <w:numId w:val="40"/>
        </w:numPr>
        <w:autoSpaceDE w:val="0"/>
        <w:autoSpaceDN w:val="0"/>
        <w:adjustRightInd w:val="0"/>
        <w:spacing w:after="0" w:line="240" w:lineRule="auto"/>
        <w:ind w:left="284"/>
        <w:jc w:val="both"/>
        <w:rPr>
          <w:rFonts w:ascii="Arial" w:eastAsia="Times New Roman" w:hAnsi="Arial" w:cs="Arial"/>
          <w:bCs/>
          <w:iCs/>
        </w:rPr>
      </w:pPr>
      <w:r w:rsidRPr="00C01A4E">
        <w:rPr>
          <w:rFonts w:ascii="Arial" w:hAnsi="Arial" w:cs="Arial"/>
        </w:rPr>
        <w:t>Le droit à la protection des données à caractère personnel est par ailleurs garanti.</w:t>
      </w:r>
    </w:p>
    <w:p w:rsidR="00324255" w:rsidRPr="00324255" w:rsidRDefault="00324255" w:rsidP="007E788F">
      <w:pPr>
        <w:pStyle w:val="Paragraphedeliste"/>
        <w:widowControl w:val="0"/>
        <w:numPr>
          <w:ilvl w:val="0"/>
          <w:numId w:val="40"/>
        </w:numPr>
        <w:autoSpaceDE w:val="0"/>
        <w:autoSpaceDN w:val="0"/>
        <w:adjustRightInd w:val="0"/>
        <w:spacing w:after="0" w:line="240" w:lineRule="auto"/>
        <w:ind w:left="284"/>
        <w:jc w:val="both"/>
        <w:rPr>
          <w:rFonts w:ascii="Arial" w:eastAsia="Times New Roman" w:hAnsi="Arial" w:cs="Arial"/>
          <w:bCs/>
          <w:iCs/>
        </w:rPr>
      </w:pPr>
      <w:r>
        <w:rPr>
          <w:rFonts w:ascii="Arial" w:hAnsi="Arial" w:cs="Arial"/>
        </w:rPr>
        <w:t xml:space="preserve">Les </w:t>
      </w:r>
      <w:r w:rsidRPr="00C01A4E">
        <w:rPr>
          <w:rFonts w:ascii="Arial" w:hAnsi="Arial" w:cs="Arial"/>
        </w:rPr>
        <w:t xml:space="preserve">institutions financières luxembourgeoises </w:t>
      </w:r>
      <w:r w:rsidRPr="00324255">
        <w:rPr>
          <w:rFonts w:ascii="Arial" w:hAnsi="Arial" w:cs="Arial"/>
        </w:rPr>
        <w:t>ne peuvent pas refuser la communication des informations en invoquant le secret professionnel auquel elles sont généralement assujetties.</w:t>
      </w:r>
    </w:p>
    <w:p w:rsidR="0092580C" w:rsidRPr="0092580C" w:rsidRDefault="00C617BC" w:rsidP="007E788F">
      <w:pPr>
        <w:pStyle w:val="Paragraphedeliste"/>
        <w:widowControl w:val="0"/>
        <w:numPr>
          <w:ilvl w:val="0"/>
          <w:numId w:val="40"/>
        </w:numPr>
        <w:autoSpaceDE w:val="0"/>
        <w:autoSpaceDN w:val="0"/>
        <w:adjustRightInd w:val="0"/>
        <w:spacing w:after="0" w:line="240" w:lineRule="auto"/>
        <w:ind w:left="284"/>
        <w:jc w:val="both"/>
        <w:rPr>
          <w:rFonts w:ascii="Arial" w:eastAsia="Times New Roman" w:hAnsi="Arial" w:cs="Arial"/>
          <w:bCs/>
          <w:iCs/>
        </w:rPr>
      </w:pPr>
      <w:r w:rsidRPr="00C01A4E">
        <w:rPr>
          <w:rFonts w:ascii="Arial" w:eastAsia="Times New Roman" w:hAnsi="Arial" w:cs="Arial"/>
        </w:rPr>
        <w:t>De plus, toutes les informations échangées seront soumises à la confidentialité</w:t>
      </w:r>
      <w:r w:rsidR="0092580C">
        <w:rPr>
          <w:rFonts w:ascii="Arial" w:eastAsia="Times New Roman" w:hAnsi="Arial" w:cs="Arial"/>
        </w:rPr>
        <w:t>.</w:t>
      </w:r>
    </w:p>
    <w:p w:rsidR="004B4C0F" w:rsidRPr="00C01A4E" w:rsidRDefault="004B4C0F" w:rsidP="007E788F">
      <w:pPr>
        <w:pStyle w:val="Paragraphedeliste"/>
        <w:widowControl w:val="0"/>
        <w:numPr>
          <w:ilvl w:val="0"/>
          <w:numId w:val="40"/>
        </w:numPr>
        <w:autoSpaceDE w:val="0"/>
        <w:autoSpaceDN w:val="0"/>
        <w:adjustRightInd w:val="0"/>
        <w:spacing w:after="0" w:line="240" w:lineRule="auto"/>
        <w:ind w:left="284"/>
        <w:jc w:val="both"/>
        <w:rPr>
          <w:rFonts w:ascii="Arial" w:eastAsia="Times New Roman" w:hAnsi="Arial" w:cs="Arial"/>
          <w:bCs/>
          <w:iCs/>
        </w:rPr>
      </w:pPr>
      <w:r w:rsidRPr="00C01A4E">
        <w:rPr>
          <w:rFonts w:ascii="Arial" w:eastAsia="Times New Roman" w:hAnsi="Arial" w:cs="Arial"/>
        </w:rPr>
        <w:t xml:space="preserve">Les annexes précisent les modalités supplémentaires à l’échange d’informations aussi bien que les </w:t>
      </w:r>
      <w:r w:rsidRPr="00C01A4E">
        <w:rPr>
          <w:rFonts w:ascii="Arial" w:eastAsia="Times New Roman" w:hAnsi="Arial" w:cs="Arial"/>
          <w:bCs/>
          <w:iCs/>
        </w:rPr>
        <w:t>bénéficiaires effectifs exemptés d’un tel échange.</w:t>
      </w:r>
    </w:p>
    <w:p w:rsidR="0038736E" w:rsidRDefault="0038736E" w:rsidP="007E788F">
      <w:pPr>
        <w:widowControl w:val="0"/>
        <w:autoSpaceDE w:val="0"/>
        <w:autoSpaceDN w:val="0"/>
        <w:adjustRightInd w:val="0"/>
        <w:jc w:val="both"/>
        <w:rPr>
          <w:rFonts w:ascii="Arial" w:hAnsi="Arial" w:cs="Arial"/>
          <w:sz w:val="22"/>
          <w:szCs w:val="22"/>
          <w:u w:val="single"/>
          <w:lang w:val="fr-FR"/>
        </w:rPr>
      </w:pPr>
    </w:p>
    <w:sectPr w:rsidR="0038736E" w:rsidSect="00B526D3">
      <w:headerReference w:type="even" r:id="rId7"/>
      <w:footerReference w:type="even" r:id="rId8"/>
      <w:footerReference w:type="default" r:id="rId9"/>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D21" w:rsidRDefault="00802D21" w:rsidP="00B775CB">
      <w:r>
        <w:separator/>
      </w:r>
    </w:p>
  </w:endnote>
  <w:endnote w:type="continuationSeparator" w:id="0">
    <w:p w:rsidR="00802D21" w:rsidRDefault="00802D21"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3DA" w:rsidRDefault="009E7BBF" w:rsidP="00215286">
    <w:pPr>
      <w:pStyle w:val="Pieddepage"/>
      <w:framePr w:wrap="around" w:vAnchor="text" w:hAnchor="margin" w:xAlign="right" w:y="1"/>
      <w:rPr>
        <w:rStyle w:val="Numrodepage"/>
      </w:rPr>
    </w:pPr>
    <w:r>
      <w:rPr>
        <w:rStyle w:val="Numrodepage"/>
      </w:rPr>
      <w:fldChar w:fldCharType="begin"/>
    </w:r>
    <w:r w:rsidR="007233DA">
      <w:rPr>
        <w:rStyle w:val="Numrodepage"/>
      </w:rPr>
      <w:instrText xml:space="preserve">PAGE  </w:instrText>
    </w:r>
    <w:r>
      <w:rPr>
        <w:rStyle w:val="Numrodepage"/>
      </w:rPr>
      <w:fldChar w:fldCharType="end"/>
    </w:r>
  </w:p>
  <w:p w:rsidR="007233DA" w:rsidRDefault="009E7BBF" w:rsidP="003E0B79">
    <w:pPr>
      <w:pStyle w:val="Pieddepage"/>
      <w:framePr w:wrap="around" w:vAnchor="text" w:hAnchor="margin" w:xAlign="right" w:y="1"/>
      <w:ind w:right="360"/>
      <w:rPr>
        <w:rStyle w:val="Numrodepage"/>
      </w:rPr>
    </w:pPr>
    <w:r>
      <w:rPr>
        <w:rStyle w:val="Numrodepage"/>
      </w:rPr>
      <w:fldChar w:fldCharType="begin"/>
    </w:r>
    <w:r w:rsidR="007233DA">
      <w:rPr>
        <w:rStyle w:val="Numrodepage"/>
      </w:rPr>
      <w:instrText xml:space="preserve">PAGE  </w:instrText>
    </w:r>
    <w:r>
      <w:rPr>
        <w:rStyle w:val="Numrodepage"/>
      </w:rPr>
      <w:fldChar w:fldCharType="end"/>
    </w:r>
  </w:p>
  <w:p w:rsidR="007233DA" w:rsidRDefault="007233DA"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3DA" w:rsidRDefault="009E7BBF" w:rsidP="00A2499A">
    <w:pPr>
      <w:pStyle w:val="Pieddepage"/>
      <w:framePr w:wrap="around" w:vAnchor="text" w:hAnchor="margin" w:xAlign="right" w:y="1"/>
      <w:rPr>
        <w:rStyle w:val="Numrodepage"/>
      </w:rPr>
    </w:pPr>
    <w:r>
      <w:rPr>
        <w:rStyle w:val="Numrodepage"/>
      </w:rPr>
      <w:fldChar w:fldCharType="begin"/>
    </w:r>
    <w:r w:rsidR="007233DA">
      <w:rPr>
        <w:rStyle w:val="Numrodepage"/>
      </w:rPr>
      <w:instrText xml:space="preserve">PAGE  </w:instrText>
    </w:r>
    <w:r>
      <w:rPr>
        <w:rStyle w:val="Numrodepage"/>
      </w:rPr>
      <w:fldChar w:fldCharType="separate"/>
    </w:r>
    <w:r w:rsidR="00AC781D">
      <w:rPr>
        <w:rStyle w:val="Numrodepage"/>
        <w:noProof/>
      </w:rPr>
      <w:t>1</w:t>
    </w:r>
    <w:r>
      <w:rPr>
        <w:rStyle w:val="Numrodepage"/>
      </w:rPr>
      <w:fldChar w:fldCharType="end"/>
    </w:r>
  </w:p>
  <w:p w:rsidR="007233DA" w:rsidRDefault="007233DA" w:rsidP="00A2499A">
    <w:pPr>
      <w:pStyle w:val="Pieddepage"/>
      <w:ind w:right="360"/>
      <w:jc w:val="center"/>
    </w:pPr>
  </w:p>
  <w:p w:rsidR="007233DA" w:rsidRDefault="007233D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D21" w:rsidRDefault="00802D21" w:rsidP="00B775CB">
      <w:r>
        <w:separator/>
      </w:r>
    </w:p>
  </w:footnote>
  <w:footnote w:type="continuationSeparator" w:id="0">
    <w:p w:rsidR="00802D21" w:rsidRDefault="00802D21"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3DA" w:rsidRDefault="009E7BBF" w:rsidP="006B704B">
    <w:pPr>
      <w:pStyle w:val="En-tte"/>
      <w:framePr w:wrap="around" w:vAnchor="text" w:hAnchor="margin" w:xAlign="center" w:y="1"/>
      <w:rPr>
        <w:rStyle w:val="Numrodepage"/>
      </w:rPr>
    </w:pPr>
    <w:r>
      <w:rPr>
        <w:rStyle w:val="Numrodepage"/>
      </w:rPr>
      <w:fldChar w:fldCharType="begin"/>
    </w:r>
    <w:r w:rsidR="007233DA">
      <w:rPr>
        <w:rStyle w:val="Numrodepage"/>
      </w:rPr>
      <w:instrText xml:space="preserve">PAGE  </w:instrText>
    </w:r>
    <w:r>
      <w:rPr>
        <w:rStyle w:val="Numrodepage"/>
      </w:rPr>
      <w:fldChar w:fldCharType="separate"/>
    </w:r>
    <w:r w:rsidR="007233DA">
      <w:rPr>
        <w:rStyle w:val="Numrodepage"/>
        <w:noProof/>
      </w:rPr>
      <w:t>3</w:t>
    </w:r>
    <w:r>
      <w:rPr>
        <w:rStyle w:val="Numrodepage"/>
      </w:rPr>
      <w:fldChar w:fldCharType="end"/>
    </w:r>
  </w:p>
  <w:p w:rsidR="007233DA" w:rsidRDefault="007233D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A97402D"/>
    <w:multiLevelType w:val="multilevel"/>
    <w:tmpl w:val="9262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1B1F3967"/>
    <w:multiLevelType w:val="multilevel"/>
    <w:tmpl w:val="A4EC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8"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9"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A5DC2"/>
    <w:multiLevelType w:val="hybridMultilevel"/>
    <w:tmpl w:val="205AA3CA"/>
    <w:lvl w:ilvl="0" w:tplc="BA7256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3"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22967"/>
    <w:multiLevelType w:val="hybridMultilevel"/>
    <w:tmpl w:val="34EC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519F1585"/>
    <w:multiLevelType w:val="multilevel"/>
    <w:tmpl w:val="9BF4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04165"/>
    <w:multiLevelType w:val="hybridMultilevel"/>
    <w:tmpl w:val="CAE8A2C8"/>
    <w:lvl w:ilvl="0" w:tplc="12F6E612">
      <w:start w:val="3"/>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31"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4" w15:restartNumberingAfterBreak="0">
    <w:nsid w:val="5DC8183B"/>
    <w:multiLevelType w:val="multilevel"/>
    <w:tmpl w:val="9A80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E4AD6"/>
    <w:multiLevelType w:val="multilevel"/>
    <w:tmpl w:val="7C70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8"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FE0D38"/>
    <w:multiLevelType w:val="hybridMultilevel"/>
    <w:tmpl w:val="A18056E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0"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7165B"/>
    <w:multiLevelType w:val="hybridMultilevel"/>
    <w:tmpl w:val="A18056E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38"/>
  </w:num>
  <w:num w:numId="2">
    <w:abstractNumId w:val="20"/>
  </w:num>
  <w:num w:numId="3">
    <w:abstractNumId w:val="37"/>
  </w:num>
  <w:num w:numId="4">
    <w:abstractNumId w:val="33"/>
  </w:num>
  <w:num w:numId="5">
    <w:abstractNumId w:val="7"/>
  </w:num>
  <w:num w:numId="6">
    <w:abstractNumId w:val="30"/>
  </w:num>
  <w:num w:numId="7">
    <w:abstractNumId w:val="1"/>
  </w:num>
  <w:num w:numId="8">
    <w:abstractNumId w:val="2"/>
  </w:num>
  <w:num w:numId="9">
    <w:abstractNumId w:val="0"/>
  </w:num>
  <w:num w:numId="10">
    <w:abstractNumId w:val="4"/>
  </w:num>
  <w:num w:numId="11">
    <w:abstractNumId w:val="40"/>
  </w:num>
  <w:num w:numId="12">
    <w:abstractNumId w:val="12"/>
  </w:num>
  <w:num w:numId="13">
    <w:abstractNumId w:val="8"/>
  </w:num>
  <w:num w:numId="14">
    <w:abstractNumId w:val="26"/>
  </w:num>
  <w:num w:numId="15">
    <w:abstractNumId w:val="18"/>
  </w:num>
  <w:num w:numId="16">
    <w:abstractNumId w:val="19"/>
  </w:num>
  <w:num w:numId="17">
    <w:abstractNumId w:val="9"/>
  </w:num>
  <w:num w:numId="18">
    <w:abstractNumId w:val="6"/>
  </w:num>
  <w:num w:numId="19">
    <w:abstractNumId w:val="29"/>
  </w:num>
  <w:num w:numId="20">
    <w:abstractNumId w:val="17"/>
  </w:num>
  <w:num w:numId="21">
    <w:abstractNumId w:val="31"/>
  </w:num>
  <w:num w:numId="22">
    <w:abstractNumId w:val="25"/>
  </w:num>
  <w:num w:numId="23">
    <w:abstractNumId w:val="22"/>
  </w:num>
  <w:num w:numId="24">
    <w:abstractNumId w:val="21"/>
  </w:num>
  <w:num w:numId="25">
    <w:abstractNumId w:val="32"/>
  </w:num>
  <w:num w:numId="26">
    <w:abstractNumId w:val="36"/>
  </w:num>
  <w:num w:numId="27">
    <w:abstractNumId w:val="16"/>
  </w:num>
  <w:num w:numId="28">
    <w:abstractNumId w:val="10"/>
  </w:num>
  <w:num w:numId="29">
    <w:abstractNumId w:val="14"/>
  </w:num>
  <w:num w:numId="30">
    <w:abstractNumId w:val="15"/>
  </w:num>
  <w:num w:numId="31">
    <w:abstractNumId w:val="13"/>
  </w:num>
  <w:num w:numId="32">
    <w:abstractNumId w:val="23"/>
  </w:num>
  <w:num w:numId="33">
    <w:abstractNumId w:val="11"/>
  </w:num>
  <w:num w:numId="34">
    <w:abstractNumId w:val="41"/>
  </w:num>
  <w:num w:numId="35">
    <w:abstractNumId w:val="27"/>
  </w:num>
  <w:num w:numId="36">
    <w:abstractNumId w:val="34"/>
  </w:num>
  <w:num w:numId="37">
    <w:abstractNumId w:val="5"/>
  </w:num>
  <w:num w:numId="38">
    <w:abstractNumId w:val="35"/>
  </w:num>
  <w:num w:numId="39">
    <w:abstractNumId w:val="3"/>
  </w:num>
  <w:num w:numId="40">
    <w:abstractNumId w:val="24"/>
  </w:num>
  <w:num w:numId="41">
    <w:abstractNumId w:val="3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266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21B3F"/>
    <w:rsid w:val="00034F86"/>
    <w:rsid w:val="00057336"/>
    <w:rsid w:val="00066E7E"/>
    <w:rsid w:val="00086E6E"/>
    <w:rsid w:val="00091AB5"/>
    <w:rsid w:val="000A6058"/>
    <w:rsid w:val="000A7329"/>
    <w:rsid w:val="000B3A5E"/>
    <w:rsid w:val="000C1F1D"/>
    <w:rsid w:val="000D290D"/>
    <w:rsid w:val="000D71CF"/>
    <w:rsid w:val="000D7F54"/>
    <w:rsid w:val="000F1D01"/>
    <w:rsid w:val="0010469C"/>
    <w:rsid w:val="001139A0"/>
    <w:rsid w:val="00115785"/>
    <w:rsid w:val="00124842"/>
    <w:rsid w:val="001443ED"/>
    <w:rsid w:val="001536B4"/>
    <w:rsid w:val="001554F2"/>
    <w:rsid w:val="001717BD"/>
    <w:rsid w:val="00177071"/>
    <w:rsid w:val="001A11E6"/>
    <w:rsid w:val="001A4DC2"/>
    <w:rsid w:val="001C0DD6"/>
    <w:rsid w:val="001C4E88"/>
    <w:rsid w:val="001C79C6"/>
    <w:rsid w:val="001D0097"/>
    <w:rsid w:val="001D30EA"/>
    <w:rsid w:val="001D4082"/>
    <w:rsid w:val="001D65D7"/>
    <w:rsid w:val="001E22D1"/>
    <w:rsid w:val="001E733E"/>
    <w:rsid w:val="001F6CD1"/>
    <w:rsid w:val="0020028C"/>
    <w:rsid w:val="00204152"/>
    <w:rsid w:val="00206EE7"/>
    <w:rsid w:val="00215286"/>
    <w:rsid w:val="00216506"/>
    <w:rsid w:val="002219C0"/>
    <w:rsid w:val="002220E0"/>
    <w:rsid w:val="00226E6F"/>
    <w:rsid w:val="00233085"/>
    <w:rsid w:val="00233914"/>
    <w:rsid w:val="00233943"/>
    <w:rsid w:val="00233FCE"/>
    <w:rsid w:val="00236B9F"/>
    <w:rsid w:val="00245527"/>
    <w:rsid w:val="0024711E"/>
    <w:rsid w:val="002609D3"/>
    <w:rsid w:val="002C03EF"/>
    <w:rsid w:val="002C1855"/>
    <w:rsid w:val="002D504D"/>
    <w:rsid w:val="002E116B"/>
    <w:rsid w:val="002E6CFC"/>
    <w:rsid w:val="002F2815"/>
    <w:rsid w:val="003237AB"/>
    <w:rsid w:val="00324255"/>
    <w:rsid w:val="00332AA2"/>
    <w:rsid w:val="00361390"/>
    <w:rsid w:val="003844D5"/>
    <w:rsid w:val="0038736E"/>
    <w:rsid w:val="00396ECE"/>
    <w:rsid w:val="003A0C16"/>
    <w:rsid w:val="003A43A2"/>
    <w:rsid w:val="003B39A4"/>
    <w:rsid w:val="003B677B"/>
    <w:rsid w:val="003D0A59"/>
    <w:rsid w:val="003D1241"/>
    <w:rsid w:val="003E0B79"/>
    <w:rsid w:val="003E69CE"/>
    <w:rsid w:val="003F6A9F"/>
    <w:rsid w:val="003F7E2B"/>
    <w:rsid w:val="004030B0"/>
    <w:rsid w:val="00405F0D"/>
    <w:rsid w:val="00407D5F"/>
    <w:rsid w:val="0041539E"/>
    <w:rsid w:val="004229B6"/>
    <w:rsid w:val="00431EF7"/>
    <w:rsid w:val="0043242A"/>
    <w:rsid w:val="004423E9"/>
    <w:rsid w:val="00452229"/>
    <w:rsid w:val="00463C33"/>
    <w:rsid w:val="00463D73"/>
    <w:rsid w:val="00464086"/>
    <w:rsid w:val="00475417"/>
    <w:rsid w:val="004823B7"/>
    <w:rsid w:val="00491C23"/>
    <w:rsid w:val="004A6915"/>
    <w:rsid w:val="004B4C0F"/>
    <w:rsid w:val="004B76A1"/>
    <w:rsid w:val="004C08ED"/>
    <w:rsid w:val="004C338A"/>
    <w:rsid w:val="004C61DC"/>
    <w:rsid w:val="004C66BD"/>
    <w:rsid w:val="004D5D39"/>
    <w:rsid w:val="004E1CC4"/>
    <w:rsid w:val="004E5079"/>
    <w:rsid w:val="004F10F8"/>
    <w:rsid w:val="004F4175"/>
    <w:rsid w:val="004F764C"/>
    <w:rsid w:val="005221BD"/>
    <w:rsid w:val="00540F2C"/>
    <w:rsid w:val="00556E1C"/>
    <w:rsid w:val="005701F7"/>
    <w:rsid w:val="005708F2"/>
    <w:rsid w:val="00570CB8"/>
    <w:rsid w:val="00594E31"/>
    <w:rsid w:val="005A5445"/>
    <w:rsid w:val="005B2729"/>
    <w:rsid w:val="005B49F1"/>
    <w:rsid w:val="005C19EA"/>
    <w:rsid w:val="005D5BBE"/>
    <w:rsid w:val="005D7602"/>
    <w:rsid w:val="005D76A7"/>
    <w:rsid w:val="005D789F"/>
    <w:rsid w:val="005E7030"/>
    <w:rsid w:val="005F404C"/>
    <w:rsid w:val="005F49C0"/>
    <w:rsid w:val="00604BCC"/>
    <w:rsid w:val="0061467F"/>
    <w:rsid w:val="006258BF"/>
    <w:rsid w:val="006265EF"/>
    <w:rsid w:val="00637738"/>
    <w:rsid w:val="00653B51"/>
    <w:rsid w:val="00657FA8"/>
    <w:rsid w:val="00672DD3"/>
    <w:rsid w:val="00677471"/>
    <w:rsid w:val="00683C34"/>
    <w:rsid w:val="00685024"/>
    <w:rsid w:val="0068698B"/>
    <w:rsid w:val="006A06E8"/>
    <w:rsid w:val="006B1162"/>
    <w:rsid w:val="006B400E"/>
    <w:rsid w:val="006B704B"/>
    <w:rsid w:val="006C1F4E"/>
    <w:rsid w:val="006C3F9B"/>
    <w:rsid w:val="006C7DFD"/>
    <w:rsid w:val="006E1070"/>
    <w:rsid w:val="006E1E59"/>
    <w:rsid w:val="006E7555"/>
    <w:rsid w:val="006F5B8B"/>
    <w:rsid w:val="007008D8"/>
    <w:rsid w:val="007013FA"/>
    <w:rsid w:val="007020EE"/>
    <w:rsid w:val="007025EF"/>
    <w:rsid w:val="00717F1F"/>
    <w:rsid w:val="0072264C"/>
    <w:rsid w:val="007233DA"/>
    <w:rsid w:val="007559DC"/>
    <w:rsid w:val="007910CC"/>
    <w:rsid w:val="00791C1F"/>
    <w:rsid w:val="00797523"/>
    <w:rsid w:val="007C1D0E"/>
    <w:rsid w:val="007C61A0"/>
    <w:rsid w:val="007D107A"/>
    <w:rsid w:val="007E2601"/>
    <w:rsid w:val="007E710F"/>
    <w:rsid w:val="007E788F"/>
    <w:rsid w:val="007F47F9"/>
    <w:rsid w:val="007F61CF"/>
    <w:rsid w:val="00802D21"/>
    <w:rsid w:val="0080517E"/>
    <w:rsid w:val="008077B1"/>
    <w:rsid w:val="0081472E"/>
    <w:rsid w:val="00815CF6"/>
    <w:rsid w:val="0083441B"/>
    <w:rsid w:val="008359BE"/>
    <w:rsid w:val="008371A1"/>
    <w:rsid w:val="0085465A"/>
    <w:rsid w:val="008555FF"/>
    <w:rsid w:val="0086630D"/>
    <w:rsid w:val="00893452"/>
    <w:rsid w:val="00896AC2"/>
    <w:rsid w:val="008A2457"/>
    <w:rsid w:val="008A6255"/>
    <w:rsid w:val="008A785F"/>
    <w:rsid w:val="008B4A74"/>
    <w:rsid w:val="008C666F"/>
    <w:rsid w:val="008E3BB9"/>
    <w:rsid w:val="008E782E"/>
    <w:rsid w:val="00901A3C"/>
    <w:rsid w:val="00907C68"/>
    <w:rsid w:val="0092580C"/>
    <w:rsid w:val="00927DEB"/>
    <w:rsid w:val="009341AB"/>
    <w:rsid w:val="00961E9D"/>
    <w:rsid w:val="00962611"/>
    <w:rsid w:val="00981402"/>
    <w:rsid w:val="00981EEE"/>
    <w:rsid w:val="00984322"/>
    <w:rsid w:val="00996A81"/>
    <w:rsid w:val="009D0657"/>
    <w:rsid w:val="009E3F23"/>
    <w:rsid w:val="009E632A"/>
    <w:rsid w:val="009E71DC"/>
    <w:rsid w:val="009E7BBF"/>
    <w:rsid w:val="009E7DC3"/>
    <w:rsid w:val="009F07BB"/>
    <w:rsid w:val="00A01246"/>
    <w:rsid w:val="00A14EE9"/>
    <w:rsid w:val="00A165A4"/>
    <w:rsid w:val="00A1783A"/>
    <w:rsid w:val="00A212E8"/>
    <w:rsid w:val="00A22DF9"/>
    <w:rsid w:val="00A2499A"/>
    <w:rsid w:val="00A44BC9"/>
    <w:rsid w:val="00A50462"/>
    <w:rsid w:val="00A648CE"/>
    <w:rsid w:val="00A670BE"/>
    <w:rsid w:val="00A6758D"/>
    <w:rsid w:val="00A677E8"/>
    <w:rsid w:val="00A71878"/>
    <w:rsid w:val="00A968FF"/>
    <w:rsid w:val="00AA2DCE"/>
    <w:rsid w:val="00AA5C9A"/>
    <w:rsid w:val="00AB34B5"/>
    <w:rsid w:val="00AC781D"/>
    <w:rsid w:val="00AD25EC"/>
    <w:rsid w:val="00AE2421"/>
    <w:rsid w:val="00B04FD3"/>
    <w:rsid w:val="00B161FB"/>
    <w:rsid w:val="00B17B44"/>
    <w:rsid w:val="00B24189"/>
    <w:rsid w:val="00B27C28"/>
    <w:rsid w:val="00B30EA5"/>
    <w:rsid w:val="00B3307D"/>
    <w:rsid w:val="00B477B7"/>
    <w:rsid w:val="00B526D3"/>
    <w:rsid w:val="00B775CB"/>
    <w:rsid w:val="00B83C77"/>
    <w:rsid w:val="00B94AAB"/>
    <w:rsid w:val="00B970E4"/>
    <w:rsid w:val="00BA56CF"/>
    <w:rsid w:val="00BB3474"/>
    <w:rsid w:val="00BD11A8"/>
    <w:rsid w:val="00BF39B7"/>
    <w:rsid w:val="00C01A4E"/>
    <w:rsid w:val="00C02E22"/>
    <w:rsid w:val="00C07513"/>
    <w:rsid w:val="00C1751E"/>
    <w:rsid w:val="00C211F1"/>
    <w:rsid w:val="00C25F79"/>
    <w:rsid w:val="00C34BD6"/>
    <w:rsid w:val="00C46894"/>
    <w:rsid w:val="00C506AC"/>
    <w:rsid w:val="00C617BC"/>
    <w:rsid w:val="00C770FF"/>
    <w:rsid w:val="00C80D3A"/>
    <w:rsid w:val="00C94AFE"/>
    <w:rsid w:val="00C97BE0"/>
    <w:rsid w:val="00CD35AC"/>
    <w:rsid w:val="00CD503B"/>
    <w:rsid w:val="00CD6AA6"/>
    <w:rsid w:val="00CE63CA"/>
    <w:rsid w:val="00CF02CA"/>
    <w:rsid w:val="00D0630D"/>
    <w:rsid w:val="00D0770B"/>
    <w:rsid w:val="00D300A3"/>
    <w:rsid w:val="00D37606"/>
    <w:rsid w:val="00D416D3"/>
    <w:rsid w:val="00D52CD0"/>
    <w:rsid w:val="00D61AFD"/>
    <w:rsid w:val="00D66359"/>
    <w:rsid w:val="00D677E2"/>
    <w:rsid w:val="00D7596E"/>
    <w:rsid w:val="00D91AF4"/>
    <w:rsid w:val="00DA0940"/>
    <w:rsid w:val="00DA0E2A"/>
    <w:rsid w:val="00DA12C8"/>
    <w:rsid w:val="00DB483B"/>
    <w:rsid w:val="00DB7FE7"/>
    <w:rsid w:val="00DC0D9D"/>
    <w:rsid w:val="00DC2BAE"/>
    <w:rsid w:val="00DC324C"/>
    <w:rsid w:val="00DD0889"/>
    <w:rsid w:val="00DE42C6"/>
    <w:rsid w:val="00DE583D"/>
    <w:rsid w:val="00DE6C09"/>
    <w:rsid w:val="00DF2920"/>
    <w:rsid w:val="00E10E4C"/>
    <w:rsid w:val="00E31D5E"/>
    <w:rsid w:val="00E41E6C"/>
    <w:rsid w:val="00E43EC8"/>
    <w:rsid w:val="00E61A63"/>
    <w:rsid w:val="00E74727"/>
    <w:rsid w:val="00E903AE"/>
    <w:rsid w:val="00E97520"/>
    <w:rsid w:val="00EA20E0"/>
    <w:rsid w:val="00EA3A77"/>
    <w:rsid w:val="00EC2142"/>
    <w:rsid w:val="00EC7BC0"/>
    <w:rsid w:val="00ED4B0F"/>
    <w:rsid w:val="00EE35AE"/>
    <w:rsid w:val="00EE7FD0"/>
    <w:rsid w:val="00EF432C"/>
    <w:rsid w:val="00F1033E"/>
    <w:rsid w:val="00F11ACA"/>
    <w:rsid w:val="00F17704"/>
    <w:rsid w:val="00F17852"/>
    <w:rsid w:val="00F22669"/>
    <w:rsid w:val="00F349D0"/>
    <w:rsid w:val="00F3604B"/>
    <w:rsid w:val="00F521D1"/>
    <w:rsid w:val="00F61920"/>
    <w:rsid w:val="00F950DD"/>
    <w:rsid w:val="00FB177C"/>
    <w:rsid w:val="00FB7533"/>
    <w:rsid w:val="00FE6DCD"/>
    <w:rsid w:val="00FE76BC"/>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15:chartTrackingRefBased/>
  <w15:docId w15:val="{BA14647B-1439-420E-A756-77DACE8E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basedOn w:val="Policepardfaut"/>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basedOn w:val="Policepardfaut"/>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basedOn w:val="Commentaire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basedOn w:val="Policepardfaut"/>
    <w:link w:val="PrformatHTML"/>
    <w:uiPriority w:val="99"/>
    <w:semiHidden/>
    <w:rsid w:val="00FB177C"/>
    <w:rPr>
      <w:rFonts w:ascii="Courier" w:hAnsi="Courier" w:cs="Courier"/>
      <w:sz w:val="20"/>
      <w:szCs w:val="20"/>
    </w:rPr>
  </w:style>
  <w:style w:type="paragraph" w:customStyle="1" w:styleId="Pa15">
    <w:name w:val="Pa15"/>
    <w:basedOn w:val="Default"/>
    <w:next w:val="Default"/>
    <w:uiPriority w:val="99"/>
    <w:rsid w:val="005F49C0"/>
    <w:pPr>
      <w:widowControl w:val="0"/>
      <w:spacing w:after="40" w:line="201" w:lineRule="atLeast"/>
    </w:pPr>
    <w:rPr>
      <w:rFonts w:ascii="Times New Roman" w:eastAsia="Times New Roman" w:hAnsi="Times New Roman" w:cs="Times New Roman"/>
      <w:color w:val="auto"/>
      <w:lang w:val="en-US" w:eastAsia="en-US"/>
    </w:rPr>
  </w:style>
  <w:style w:type="character" w:customStyle="1" w:styleId="A7">
    <w:name w:val="A7"/>
    <w:uiPriority w:val="99"/>
    <w:rsid w:val="000B3A5E"/>
    <w:rPr>
      <w:i/>
      <w:iCs/>
      <w:color w:val="000000"/>
      <w:sz w:val="15"/>
      <w:szCs w:val="15"/>
    </w:rPr>
  </w:style>
  <w:style w:type="character" w:styleId="lev">
    <w:name w:val="Strong"/>
    <w:basedOn w:val="Policepardfaut"/>
    <w:uiPriority w:val="22"/>
    <w:qFormat/>
    <w:rsid w:val="00F11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385">
      <w:bodyDiv w:val="1"/>
      <w:marLeft w:val="0"/>
      <w:marRight w:val="0"/>
      <w:marTop w:val="0"/>
      <w:marBottom w:val="0"/>
      <w:divBdr>
        <w:top w:val="none" w:sz="0" w:space="0" w:color="auto"/>
        <w:left w:val="none" w:sz="0" w:space="0" w:color="auto"/>
        <w:bottom w:val="none" w:sz="0" w:space="0" w:color="auto"/>
        <w:right w:val="none" w:sz="0" w:space="0" w:color="auto"/>
      </w:divBdr>
    </w:div>
    <w:div w:id="131793310">
      <w:bodyDiv w:val="1"/>
      <w:marLeft w:val="0"/>
      <w:marRight w:val="0"/>
      <w:marTop w:val="0"/>
      <w:marBottom w:val="0"/>
      <w:divBdr>
        <w:top w:val="none" w:sz="0" w:space="0" w:color="auto"/>
        <w:left w:val="none" w:sz="0" w:space="0" w:color="auto"/>
        <w:bottom w:val="none" w:sz="0" w:space="0" w:color="auto"/>
        <w:right w:val="none" w:sz="0" w:space="0" w:color="auto"/>
      </w:divBdr>
    </w:div>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15436731">
      <w:bodyDiv w:val="1"/>
      <w:marLeft w:val="0"/>
      <w:marRight w:val="0"/>
      <w:marTop w:val="0"/>
      <w:marBottom w:val="0"/>
      <w:divBdr>
        <w:top w:val="none" w:sz="0" w:space="0" w:color="auto"/>
        <w:left w:val="none" w:sz="0" w:space="0" w:color="auto"/>
        <w:bottom w:val="none" w:sz="0" w:space="0" w:color="auto"/>
        <w:right w:val="none" w:sz="0" w:space="0" w:color="auto"/>
      </w:divBdr>
    </w:div>
    <w:div w:id="944077409">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1FC9971-9A4E-482A-9C75-EFB3969BA31E}"/>
</file>

<file path=customXml/itemProps2.xml><?xml version="1.0" encoding="utf-8"?>
<ds:datastoreItem xmlns:ds="http://schemas.openxmlformats.org/officeDocument/2006/customXml" ds:itemID="{6B0F13CB-06A0-4BB4-87B9-BC012E21B9BC}"/>
</file>

<file path=customXml/itemProps3.xml><?xml version="1.0" encoding="utf-8"?>
<ds:datastoreItem xmlns:ds="http://schemas.openxmlformats.org/officeDocument/2006/customXml" ds:itemID="{D0AF67FC-C515-4B94-A926-885AB9B11D1C}"/>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5054</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2015-05-26T13:11:00Z</cp:lastPrinted>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