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D8C" w:rsidRDefault="004B7D8C" w:rsidP="004B7D8C">
      <w:pPr>
        <w:jc w:val="both"/>
        <w:rPr>
          <w:rFonts w:ascii="Arial" w:hAnsi="Arial" w:cs="Arial"/>
          <w:sz w:val="22"/>
          <w:szCs w:val="22"/>
        </w:rPr>
      </w:pPr>
      <w:bookmarkStart w:id="0" w:name="_GoBack"/>
      <w:bookmarkEnd w:id="0"/>
      <w:r>
        <w:rPr>
          <w:rFonts w:ascii="Arial" w:hAnsi="Arial" w:cs="Arial"/>
          <w:sz w:val="22"/>
          <w:szCs w:val="22"/>
        </w:rPr>
        <w:t>6785 : résumé</w:t>
      </w:r>
    </w:p>
    <w:p w:rsidR="004B7D8C" w:rsidRDefault="004B7D8C" w:rsidP="004B7D8C">
      <w:pPr>
        <w:jc w:val="both"/>
        <w:rPr>
          <w:rFonts w:ascii="Arial" w:hAnsi="Arial" w:cs="Arial"/>
          <w:sz w:val="22"/>
          <w:szCs w:val="22"/>
        </w:rPr>
      </w:pPr>
    </w:p>
    <w:p w:rsidR="004B7D8C" w:rsidRPr="006D0F9C" w:rsidRDefault="004B7D8C" w:rsidP="004B7D8C">
      <w:pPr>
        <w:jc w:val="both"/>
        <w:rPr>
          <w:rFonts w:ascii="Arial" w:hAnsi="Arial" w:cs="Arial"/>
          <w:sz w:val="22"/>
          <w:szCs w:val="22"/>
          <w:lang w:val="fr-LU" w:eastAsia="fr-LU"/>
        </w:rPr>
      </w:pPr>
      <w:r>
        <w:rPr>
          <w:rFonts w:ascii="Arial" w:hAnsi="Arial" w:cs="Arial"/>
          <w:sz w:val="22"/>
          <w:szCs w:val="22"/>
        </w:rPr>
        <w:t xml:space="preserve">Le projet </w:t>
      </w:r>
      <w:r w:rsidRPr="006D0F9C">
        <w:rPr>
          <w:rFonts w:ascii="Arial" w:hAnsi="Arial" w:cs="Arial"/>
          <w:sz w:val="22"/>
          <w:szCs w:val="22"/>
          <w:lang w:val="fr-LU" w:eastAsia="fr-LU"/>
        </w:rPr>
        <w:t>de loi vise à faire approuver le Traité Benelux relatif à la coopération transfrontalière en matière d’inspection du transport routier, signé à Liège le 3 octobre 2014</w:t>
      </w:r>
      <w:r>
        <w:rPr>
          <w:rFonts w:ascii="Arial" w:hAnsi="Arial" w:cs="Arial"/>
          <w:sz w:val="22"/>
          <w:szCs w:val="22"/>
          <w:lang w:val="fr-LU" w:eastAsia="fr-LU"/>
        </w:rPr>
        <w:t xml:space="preserve"> (</w:t>
      </w:r>
      <w:r w:rsidRPr="006D0F9C">
        <w:rPr>
          <w:rFonts w:ascii="Arial" w:hAnsi="Arial" w:cs="Arial"/>
          <w:sz w:val="22"/>
          <w:szCs w:val="22"/>
        </w:rPr>
        <w:t xml:space="preserve">dit </w:t>
      </w:r>
      <w:r>
        <w:rPr>
          <w:rFonts w:ascii="Arial" w:hAnsi="Arial" w:cs="Arial"/>
          <w:sz w:val="22"/>
          <w:szCs w:val="22"/>
        </w:rPr>
        <w:t>« </w:t>
      </w:r>
      <w:r w:rsidRPr="006D0F9C">
        <w:rPr>
          <w:rFonts w:ascii="Arial" w:hAnsi="Arial" w:cs="Arial"/>
          <w:sz w:val="22"/>
          <w:szCs w:val="22"/>
        </w:rPr>
        <w:t>Traité de Liège</w:t>
      </w:r>
      <w:r>
        <w:rPr>
          <w:rFonts w:ascii="Arial" w:hAnsi="Arial" w:cs="Arial"/>
          <w:sz w:val="22"/>
          <w:szCs w:val="22"/>
        </w:rPr>
        <w:t> »)</w:t>
      </w:r>
      <w:r w:rsidRPr="006D0F9C">
        <w:rPr>
          <w:rFonts w:ascii="Arial" w:hAnsi="Arial" w:cs="Arial"/>
          <w:sz w:val="22"/>
          <w:szCs w:val="22"/>
          <w:lang w:val="fr-LU" w:eastAsia="fr-LU"/>
        </w:rPr>
        <w:t xml:space="preserve">. Ce traité lie le Royaume des Pays-Bas, le Royaume de </w:t>
      </w:r>
      <w:r>
        <w:rPr>
          <w:rFonts w:ascii="Arial" w:hAnsi="Arial" w:cs="Arial"/>
          <w:sz w:val="22"/>
          <w:szCs w:val="22"/>
          <w:lang w:val="fr-LU" w:eastAsia="fr-LU"/>
        </w:rPr>
        <w:t>Belgique,</w:t>
      </w:r>
      <w:r w:rsidRPr="006D0F9C">
        <w:rPr>
          <w:rFonts w:ascii="Arial" w:hAnsi="Arial" w:cs="Arial"/>
          <w:sz w:val="22"/>
          <w:szCs w:val="22"/>
          <w:lang w:val="fr-LU" w:eastAsia="fr-LU"/>
        </w:rPr>
        <w:t xml:space="preserve"> la région de Flandre, la région de Wallonie</w:t>
      </w:r>
      <w:r>
        <w:rPr>
          <w:rFonts w:ascii="Arial" w:hAnsi="Arial" w:cs="Arial"/>
          <w:sz w:val="22"/>
          <w:szCs w:val="22"/>
          <w:lang w:val="fr-LU" w:eastAsia="fr-LU"/>
        </w:rPr>
        <w:t>,</w:t>
      </w:r>
      <w:r w:rsidRPr="006D0F9C">
        <w:rPr>
          <w:rFonts w:ascii="Arial" w:hAnsi="Arial" w:cs="Arial"/>
          <w:sz w:val="22"/>
          <w:szCs w:val="22"/>
          <w:lang w:val="fr-LU" w:eastAsia="fr-LU"/>
        </w:rPr>
        <w:t xml:space="preserve"> la région de Bruxelles-Capitale ainsi que le Grand-Duché de Luxembourg.</w:t>
      </w:r>
    </w:p>
    <w:p w:rsidR="004B7D8C" w:rsidRDefault="004B7D8C" w:rsidP="004B7D8C">
      <w:pPr>
        <w:jc w:val="both"/>
        <w:rPr>
          <w:rFonts w:ascii="Arial" w:hAnsi="Arial" w:cs="Arial"/>
          <w:sz w:val="22"/>
          <w:szCs w:val="22"/>
          <w:lang w:val="fr-LU" w:eastAsia="fr-LU"/>
        </w:rPr>
      </w:pPr>
    </w:p>
    <w:p w:rsidR="004B7D8C" w:rsidRPr="006D0F9C" w:rsidRDefault="004B7D8C" w:rsidP="004B7D8C">
      <w:pPr>
        <w:jc w:val="both"/>
        <w:rPr>
          <w:rFonts w:ascii="Arial" w:hAnsi="Arial" w:cs="Arial"/>
          <w:sz w:val="22"/>
          <w:szCs w:val="22"/>
          <w:lang w:val="fr-LU" w:eastAsia="fr-LU"/>
        </w:rPr>
      </w:pPr>
      <w:r w:rsidRPr="006D0F9C">
        <w:rPr>
          <w:rFonts w:ascii="Arial" w:hAnsi="Arial" w:cs="Arial"/>
          <w:sz w:val="22"/>
          <w:szCs w:val="22"/>
          <w:lang w:val="fr-LU" w:eastAsia="fr-LU"/>
        </w:rPr>
        <w:t xml:space="preserve">Les parties </w:t>
      </w:r>
      <w:r>
        <w:rPr>
          <w:rFonts w:ascii="Arial" w:hAnsi="Arial" w:cs="Arial"/>
          <w:sz w:val="22"/>
          <w:szCs w:val="22"/>
          <w:lang w:val="fr-LU" w:eastAsia="fr-LU"/>
        </w:rPr>
        <w:t>signataires</w:t>
      </w:r>
      <w:r w:rsidRPr="006D0F9C">
        <w:rPr>
          <w:rFonts w:ascii="Arial" w:hAnsi="Arial" w:cs="Arial"/>
          <w:sz w:val="22"/>
          <w:szCs w:val="22"/>
          <w:lang w:val="fr-LU" w:eastAsia="fr-LU"/>
        </w:rPr>
        <w:t xml:space="preserve"> souhaitent par l’alignement des interprétations des règles européennes et par la coopération, améliorer quantitativement et qualitativement le contrôle des transports routiers, mais estiment encore que la coopération entre les pays et régions signataires aura des retombées importantes au sein de la coopération Euro Contrôle Route, en particulier, et au sein de la coopération européenne en général.</w:t>
      </w:r>
      <w:r>
        <w:rPr>
          <w:rFonts w:ascii="Arial" w:hAnsi="Arial" w:cs="Arial"/>
          <w:sz w:val="22"/>
          <w:szCs w:val="22"/>
          <w:lang w:val="fr-LU" w:eastAsia="fr-LU"/>
        </w:rPr>
        <w:t xml:space="preserve"> </w:t>
      </w:r>
      <w:r w:rsidRPr="006D0F9C">
        <w:rPr>
          <w:rFonts w:ascii="Arial" w:hAnsi="Arial" w:cs="Arial"/>
          <w:sz w:val="22"/>
          <w:szCs w:val="22"/>
          <w:lang w:val="fr-LU" w:eastAsia="fr-LU"/>
        </w:rPr>
        <w:t>À cet effet, les parties ont convenu une possibilité d’élargissement à d’autres pays, et, si elles ont la capacité de conclure des traités, à des entités fédérées.</w:t>
      </w:r>
    </w:p>
    <w:p w:rsidR="004B7D8C" w:rsidRDefault="004B7D8C" w:rsidP="004B7D8C">
      <w:pPr>
        <w:jc w:val="both"/>
        <w:rPr>
          <w:rFonts w:ascii="Arial" w:hAnsi="Arial" w:cs="Arial"/>
          <w:sz w:val="22"/>
          <w:szCs w:val="22"/>
          <w:lang w:val="fr-LU" w:eastAsia="fr-LU"/>
        </w:rPr>
      </w:pPr>
    </w:p>
    <w:p w:rsidR="001832DD" w:rsidRPr="004B7D8C" w:rsidRDefault="001832DD" w:rsidP="004B7D8C">
      <w:pPr>
        <w:rPr>
          <w:lang w:val="fr-LU"/>
        </w:rPr>
      </w:pPr>
    </w:p>
    <w:sectPr w:rsidR="001832DD" w:rsidRPr="004B7D8C"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D8C"/>
    <w:rsid w:val="001832DD"/>
    <w:rsid w:val="00363FFF"/>
    <w:rsid w:val="004B7D8C"/>
    <w:rsid w:val="0056693C"/>
    <w:rsid w:val="008834CA"/>
    <w:rsid w:val="00C76E87"/>
    <w:rsid w:val="00E7361B"/>
    <w:rsid w:val="00EB2F8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73004DA-8080-4EEE-815B-624F3430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D8C"/>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styleId="Textedebulles">
    <w:name w:val="Balloon Text"/>
    <w:basedOn w:val="Normal"/>
    <w:link w:val="TextedebullesCar"/>
    <w:uiPriority w:val="99"/>
    <w:semiHidden/>
    <w:unhideWhenUsed/>
    <w:rsid w:val="004B7D8C"/>
    <w:rPr>
      <w:rFonts w:ascii="Tahoma" w:hAnsi="Tahoma" w:cs="Tahoma"/>
      <w:sz w:val="16"/>
      <w:szCs w:val="16"/>
    </w:rPr>
  </w:style>
  <w:style w:type="character" w:customStyle="1" w:styleId="TextedebullesCar">
    <w:name w:val="Texte de bulles Car"/>
    <w:basedOn w:val="Policepardfaut"/>
    <w:link w:val="Textedebulles"/>
    <w:uiPriority w:val="99"/>
    <w:semiHidden/>
    <w:rsid w:val="004B7D8C"/>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DP6785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6785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/sftpecos/Dossiers_parlementaires/6785/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4E81AA3-5FE6-4D0A-B625-30D0B62528ED}"/>
</file>

<file path=customXml/itemProps2.xml><?xml version="1.0" encoding="utf-8"?>
<ds:datastoreItem xmlns:ds="http://schemas.openxmlformats.org/officeDocument/2006/customXml" ds:itemID="{E52E4DFE-5453-43D8-AB9A-B3A24EF5A6F6}"/>
</file>

<file path=customXml/itemProps3.xml><?xml version="1.0" encoding="utf-8"?>
<ds:datastoreItem xmlns:ds="http://schemas.openxmlformats.org/officeDocument/2006/customXml" ds:itemID="{3B5F8B53-CB83-449E-B3E4-D4300D99F7A1}"/>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840</Characters>
  <Application>Microsoft Office Word</Application>
  <DocSecurity>4</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