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C03363">
        <w:rPr>
          <w:rFonts w:ascii="Arial" w:hAnsi="Arial" w:cs="Arial"/>
          <w:b/>
        </w:rPr>
        <w:t>7</w:t>
      </w:r>
      <w:r w:rsidR="00FE01C2">
        <w:rPr>
          <w:rFonts w:ascii="Arial" w:hAnsi="Arial" w:cs="Arial"/>
          <w:b/>
        </w:rPr>
        <w:t>78</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035407" w:rsidRPr="00121055" w:rsidRDefault="00FE01C2" w:rsidP="00035407">
      <w:pPr>
        <w:jc w:val="center"/>
        <w:rPr>
          <w:rFonts w:ascii="Arial" w:hAnsi="Arial" w:cs="Arial"/>
          <w:b/>
          <w:bCs/>
          <w:lang w:val="fr-LU"/>
        </w:rPr>
      </w:pPr>
      <w:r>
        <w:rPr>
          <w:rFonts w:ascii="Arial" w:hAnsi="Arial" w:cs="Arial"/>
          <w:b/>
        </w:rPr>
        <w:t xml:space="preserve">relatif à la construction d’un Centre national d’incendie et de secours et autorisant l’État à participer au financement des travaux y relatifs </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BE2372" w:rsidRDefault="00BE2372" w:rsidP="00232E53">
      <w:pPr>
        <w:autoSpaceDE w:val="0"/>
        <w:autoSpaceDN w:val="0"/>
        <w:adjustRightInd w:val="0"/>
        <w:jc w:val="both"/>
        <w:rPr>
          <w:rFonts w:ascii="Arial" w:hAnsi="Arial" w:cs="Arial"/>
          <w:b/>
          <w:bCs/>
          <w:sz w:val="22"/>
          <w:szCs w:val="22"/>
          <w:lang w:val="fr-LU"/>
        </w:rPr>
      </w:pPr>
    </w:p>
    <w:p w:rsidR="00980CBA" w:rsidRDefault="00980CBA" w:rsidP="00980CBA">
      <w:pPr>
        <w:jc w:val="both"/>
        <w:rPr>
          <w:rFonts w:ascii="Arial" w:hAnsi="Arial" w:cs="Arial"/>
          <w:sz w:val="22"/>
          <w:szCs w:val="22"/>
        </w:rPr>
      </w:pPr>
      <w:r>
        <w:rPr>
          <w:rFonts w:ascii="Arial" w:hAnsi="Arial" w:cs="Arial"/>
          <w:sz w:val="22"/>
          <w:szCs w:val="22"/>
        </w:rPr>
        <w:t>L</w:t>
      </w:r>
      <w:r w:rsidRPr="00BA7C77">
        <w:rPr>
          <w:rFonts w:ascii="Arial" w:hAnsi="Arial" w:cs="Arial"/>
          <w:sz w:val="22"/>
          <w:szCs w:val="22"/>
        </w:rPr>
        <w:t xml:space="preserve">e projet </w:t>
      </w:r>
      <w:r>
        <w:rPr>
          <w:rFonts w:ascii="Arial" w:hAnsi="Arial" w:cs="Arial"/>
          <w:sz w:val="22"/>
          <w:szCs w:val="22"/>
        </w:rPr>
        <w:t xml:space="preserve">de loi </w:t>
      </w:r>
      <w:r w:rsidRPr="00BA7C77">
        <w:rPr>
          <w:rFonts w:ascii="Arial" w:hAnsi="Arial" w:cs="Arial"/>
          <w:sz w:val="22"/>
          <w:szCs w:val="22"/>
        </w:rPr>
        <w:t>a pour objet la construction d’un nouveau bâtiment pour les besoins des services de secours, dénommé „Centre national d’incendie et de secours“ (CNIS)</w:t>
      </w:r>
      <w:r w:rsidR="00C24E31">
        <w:rPr>
          <w:rFonts w:ascii="Arial" w:hAnsi="Arial" w:cs="Arial"/>
          <w:sz w:val="22"/>
          <w:szCs w:val="22"/>
        </w:rPr>
        <w:t>,</w:t>
      </w:r>
      <w:r w:rsidRPr="00BA7C77">
        <w:rPr>
          <w:rFonts w:ascii="Arial" w:hAnsi="Arial" w:cs="Arial"/>
          <w:sz w:val="22"/>
          <w:szCs w:val="22"/>
        </w:rPr>
        <w:t xml:space="preserve"> dans le quartier du Ban de Gasperich sur le futur Boulevard Kockelscheuer, à proximité du carrefour Gluck. Ce nouveau bâtiment regroupera sur un site unique la caserne des pompiers professionnels de la Ville de Luxembourg (actuellement située route d’Arlon), la </w:t>
      </w:r>
      <w:r>
        <w:rPr>
          <w:rFonts w:ascii="Arial" w:hAnsi="Arial" w:cs="Arial"/>
          <w:sz w:val="22"/>
          <w:szCs w:val="22"/>
        </w:rPr>
        <w:t>d</w:t>
      </w:r>
      <w:r w:rsidRPr="00BA7C77">
        <w:rPr>
          <w:rFonts w:ascii="Arial" w:hAnsi="Arial" w:cs="Arial"/>
          <w:sz w:val="22"/>
          <w:szCs w:val="22"/>
        </w:rPr>
        <w:t xml:space="preserve">irection de l’Administration des services de secours (actuellement située rue Robert Stümper) avec le Central des secours d’urgence (CSU 112), l’Ecole </w:t>
      </w:r>
      <w:r>
        <w:rPr>
          <w:rFonts w:ascii="Arial" w:hAnsi="Arial" w:cs="Arial"/>
          <w:sz w:val="22"/>
          <w:szCs w:val="22"/>
        </w:rPr>
        <w:t>nationale de la Protection c</w:t>
      </w:r>
      <w:r w:rsidRPr="00BA7C77">
        <w:rPr>
          <w:rFonts w:ascii="Arial" w:hAnsi="Arial" w:cs="Arial"/>
          <w:sz w:val="22"/>
          <w:szCs w:val="22"/>
        </w:rPr>
        <w:t xml:space="preserve">ivile (actuellement située à Schimpach), ainsi que l’Ecole </w:t>
      </w:r>
      <w:r>
        <w:rPr>
          <w:rFonts w:ascii="Arial" w:hAnsi="Arial" w:cs="Arial"/>
          <w:sz w:val="22"/>
          <w:szCs w:val="22"/>
        </w:rPr>
        <w:t>nationale des Services d’I</w:t>
      </w:r>
      <w:r w:rsidRPr="00BA7C77">
        <w:rPr>
          <w:rFonts w:ascii="Arial" w:hAnsi="Arial" w:cs="Arial"/>
          <w:sz w:val="22"/>
          <w:szCs w:val="22"/>
        </w:rPr>
        <w:t>ncendie et de Sauvetage (actuellement située à Niederfeulen). Ainsi, le projet est un élément central de la réforme des services de secours qui prévoit de regrouper l’ensemble des services de secours publics du Grand-Duché dans une nouvelle structure unique sous forme d’un établissement p</w:t>
      </w:r>
      <w:r>
        <w:rPr>
          <w:rFonts w:ascii="Arial" w:hAnsi="Arial" w:cs="Arial"/>
          <w:sz w:val="22"/>
          <w:szCs w:val="22"/>
        </w:rPr>
        <w:t>ublic géré conjointement par l’É</w:t>
      </w:r>
      <w:r w:rsidRPr="00BA7C77">
        <w:rPr>
          <w:rFonts w:ascii="Arial" w:hAnsi="Arial" w:cs="Arial"/>
          <w:sz w:val="22"/>
          <w:szCs w:val="22"/>
        </w:rPr>
        <w:t xml:space="preserve">tat et les communes. </w:t>
      </w:r>
    </w:p>
    <w:p w:rsidR="00980CBA" w:rsidRDefault="00980CBA" w:rsidP="00980CBA">
      <w:pPr>
        <w:jc w:val="both"/>
        <w:rPr>
          <w:rFonts w:ascii="Arial" w:hAnsi="Arial" w:cs="Arial"/>
          <w:sz w:val="22"/>
          <w:szCs w:val="22"/>
        </w:rPr>
      </w:pPr>
    </w:p>
    <w:p w:rsidR="009A2F43" w:rsidRDefault="00980CBA" w:rsidP="00980CBA">
      <w:pPr>
        <w:jc w:val="both"/>
        <w:rPr>
          <w:rFonts w:ascii="Arial" w:hAnsi="Arial" w:cs="Arial"/>
          <w:sz w:val="22"/>
          <w:szCs w:val="22"/>
        </w:rPr>
      </w:pPr>
      <w:r w:rsidRPr="00BA7C77">
        <w:rPr>
          <w:rFonts w:ascii="Arial" w:hAnsi="Arial" w:cs="Arial"/>
          <w:sz w:val="22"/>
          <w:szCs w:val="22"/>
        </w:rPr>
        <w:t>Le CNIS abritera la future directio</w:t>
      </w:r>
      <w:r>
        <w:rPr>
          <w:rFonts w:ascii="Arial" w:hAnsi="Arial" w:cs="Arial"/>
          <w:sz w:val="22"/>
          <w:szCs w:val="22"/>
        </w:rPr>
        <w:t>n de l’établissement public, l’I</w:t>
      </w:r>
      <w:r w:rsidRPr="00BA7C77">
        <w:rPr>
          <w:rFonts w:ascii="Arial" w:hAnsi="Arial" w:cs="Arial"/>
          <w:sz w:val="22"/>
          <w:szCs w:val="22"/>
        </w:rPr>
        <w:t>nstitut national de formation des services de secours, ainsi que le Centre d’incendie et de secours territorialement compétent notamment pour l</w:t>
      </w:r>
      <w:r>
        <w:rPr>
          <w:rFonts w:ascii="Arial" w:hAnsi="Arial" w:cs="Arial"/>
          <w:sz w:val="22"/>
          <w:szCs w:val="22"/>
        </w:rPr>
        <w:t>a Ville de Luxembourg.</w:t>
      </w:r>
    </w:p>
    <w:p w:rsidR="001F270E" w:rsidRDefault="001F270E" w:rsidP="00980CBA">
      <w:pPr>
        <w:jc w:val="both"/>
        <w:rPr>
          <w:rFonts w:ascii="Arial" w:hAnsi="Arial" w:cs="Arial"/>
          <w:sz w:val="22"/>
          <w:szCs w:val="22"/>
        </w:rPr>
      </w:pPr>
    </w:p>
    <w:p w:rsidR="001F270E" w:rsidRPr="00F53576" w:rsidRDefault="001F270E" w:rsidP="001F270E">
      <w:pPr>
        <w:jc w:val="both"/>
        <w:rPr>
          <w:rFonts w:ascii="Arial" w:hAnsi="Arial" w:cs="Arial"/>
          <w:sz w:val="22"/>
          <w:szCs w:val="22"/>
        </w:rPr>
      </w:pPr>
      <w:r w:rsidRPr="00BA7C77">
        <w:rPr>
          <w:rFonts w:ascii="Arial" w:hAnsi="Arial" w:cs="Arial"/>
          <w:sz w:val="22"/>
          <w:szCs w:val="22"/>
        </w:rPr>
        <w:t xml:space="preserve">Le </w:t>
      </w:r>
      <w:r>
        <w:rPr>
          <w:rFonts w:ascii="Arial" w:hAnsi="Arial" w:cs="Arial"/>
          <w:sz w:val="22"/>
          <w:szCs w:val="22"/>
        </w:rPr>
        <w:t>projet est divisé en deux zones.</w:t>
      </w:r>
      <w:r w:rsidRPr="00BA7C77">
        <w:rPr>
          <w:rFonts w:ascii="Arial" w:hAnsi="Arial" w:cs="Arial"/>
          <w:sz w:val="22"/>
          <w:szCs w:val="22"/>
        </w:rPr>
        <w:t xml:space="preserve"> La zone 1 regroupe la caserne des sapeurs-pompiers pro</w:t>
      </w:r>
      <w:r>
        <w:rPr>
          <w:rFonts w:ascii="Arial" w:hAnsi="Arial" w:cs="Arial"/>
          <w:sz w:val="22"/>
          <w:szCs w:val="22"/>
        </w:rPr>
        <w:t>fessionnels et volontaires, la direction, la nouvelle CSU 112 ainsi que l’I</w:t>
      </w:r>
      <w:r w:rsidRPr="00BA7C77">
        <w:rPr>
          <w:rFonts w:ascii="Arial" w:hAnsi="Arial" w:cs="Arial"/>
          <w:sz w:val="22"/>
          <w:szCs w:val="22"/>
        </w:rPr>
        <w:t>nstitut national de formation des services de secours. La Ville de Luxembourg sera le maître d’ouvrage pour cette partie et préfinancera les travaux en question. L’</w:t>
      </w:r>
      <w:r>
        <w:rPr>
          <w:rFonts w:ascii="Arial" w:hAnsi="Arial" w:cs="Arial"/>
          <w:sz w:val="22"/>
          <w:szCs w:val="22"/>
        </w:rPr>
        <w:t>É</w:t>
      </w:r>
      <w:r w:rsidRPr="00BA7C77">
        <w:rPr>
          <w:rFonts w:ascii="Arial" w:hAnsi="Arial" w:cs="Arial"/>
          <w:sz w:val="22"/>
          <w:szCs w:val="22"/>
        </w:rPr>
        <w:t>tat remboursera sa partie suivant les modalités fixées dans une convention signée entre l’</w:t>
      </w:r>
      <w:r>
        <w:rPr>
          <w:rFonts w:ascii="Arial" w:hAnsi="Arial" w:cs="Arial"/>
          <w:sz w:val="22"/>
          <w:szCs w:val="22"/>
        </w:rPr>
        <w:t>É</w:t>
      </w:r>
      <w:r w:rsidRPr="00BA7C77">
        <w:rPr>
          <w:rFonts w:ascii="Arial" w:hAnsi="Arial" w:cs="Arial"/>
          <w:sz w:val="22"/>
          <w:szCs w:val="22"/>
        </w:rPr>
        <w:t>tat et la Ville de Luxembourg. Cette convention stipule que la répartition du coût de construction du bâtiment principal et de ses alentours est opérée en fonction du coût des surfaces propres affectées à l’Administration des services de secours, y compris l’Institut national de formation des services de secours</w:t>
      </w:r>
      <w:r>
        <w:rPr>
          <w:rFonts w:ascii="Arial" w:hAnsi="Arial" w:cs="Arial"/>
          <w:sz w:val="22"/>
          <w:szCs w:val="22"/>
        </w:rPr>
        <w:t>,</w:t>
      </w:r>
      <w:r w:rsidRPr="00BA7C77">
        <w:rPr>
          <w:rFonts w:ascii="Arial" w:hAnsi="Arial" w:cs="Arial"/>
          <w:sz w:val="22"/>
          <w:szCs w:val="22"/>
        </w:rPr>
        <w:t xml:space="preserve"> et au Service d’Incendie et d’Ambulances de la Ville de Luxembourg, à savoir 44,84% pour l’</w:t>
      </w:r>
      <w:r>
        <w:rPr>
          <w:rFonts w:ascii="Arial" w:hAnsi="Arial" w:cs="Arial"/>
          <w:sz w:val="22"/>
          <w:szCs w:val="22"/>
        </w:rPr>
        <w:t>É</w:t>
      </w:r>
      <w:r w:rsidRPr="00BA7C77">
        <w:rPr>
          <w:rFonts w:ascii="Arial" w:hAnsi="Arial" w:cs="Arial"/>
          <w:sz w:val="22"/>
          <w:szCs w:val="22"/>
        </w:rPr>
        <w:t>tat et 55,16% pour la Ville de Luxembourg. Les frais de construction des surfaces communes („Synergetische Bereiche“) de ce bâtiment sont répartis selon la même clé. La zone 2 comporte le plateau technique avec toutes les installations techniques nécessaires à l’entraînement et à la formation pratique des agents professionnels et volontaires des services de secours. Les coûts de construction pour la zone 2 sont pris intégralement en charge par l’</w:t>
      </w:r>
      <w:r>
        <w:rPr>
          <w:rFonts w:ascii="Arial" w:hAnsi="Arial" w:cs="Arial"/>
          <w:sz w:val="22"/>
          <w:szCs w:val="22"/>
        </w:rPr>
        <w:t>É</w:t>
      </w:r>
      <w:r w:rsidRPr="00BA7C77">
        <w:rPr>
          <w:rFonts w:ascii="Arial" w:hAnsi="Arial" w:cs="Arial"/>
          <w:sz w:val="22"/>
          <w:szCs w:val="22"/>
        </w:rPr>
        <w:t>tat qui en est le maître d’ouvrage.</w:t>
      </w:r>
    </w:p>
    <w:p w:rsidR="001F270E" w:rsidRDefault="001F270E" w:rsidP="00980CBA">
      <w:pPr>
        <w:jc w:val="both"/>
        <w:rPr>
          <w:rFonts w:ascii="Arial" w:hAnsi="Arial" w:cs="Arial"/>
          <w:sz w:val="22"/>
          <w:szCs w:val="22"/>
        </w:rPr>
      </w:pPr>
    </w:p>
    <w:p w:rsidR="009A2F43" w:rsidRDefault="009A2F43" w:rsidP="00486FD9">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4F" w:rsidRDefault="0013014F" w:rsidP="00F64489">
      <w:r>
        <w:separator/>
      </w:r>
    </w:p>
  </w:endnote>
  <w:endnote w:type="continuationSeparator" w:id="0">
    <w:p w:rsidR="0013014F" w:rsidRDefault="0013014F"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4F" w:rsidRDefault="0013014F" w:rsidP="00F64489">
      <w:r>
        <w:separator/>
      </w:r>
    </w:p>
  </w:footnote>
  <w:footnote w:type="continuationSeparator" w:id="0">
    <w:p w:rsidR="0013014F" w:rsidRDefault="0013014F"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F4793"/>
    <w:rsid w:val="00116BC8"/>
    <w:rsid w:val="00127738"/>
    <w:rsid w:val="0013014F"/>
    <w:rsid w:val="00166A32"/>
    <w:rsid w:val="00193625"/>
    <w:rsid w:val="001A071E"/>
    <w:rsid w:val="001F270E"/>
    <w:rsid w:val="0020370B"/>
    <w:rsid w:val="00232E53"/>
    <w:rsid w:val="00244BDD"/>
    <w:rsid w:val="00261356"/>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61F0D"/>
    <w:rsid w:val="004642F9"/>
    <w:rsid w:val="00486FD9"/>
    <w:rsid w:val="0051074A"/>
    <w:rsid w:val="0053130F"/>
    <w:rsid w:val="00554D00"/>
    <w:rsid w:val="00576C0F"/>
    <w:rsid w:val="00584688"/>
    <w:rsid w:val="005C5FB2"/>
    <w:rsid w:val="005D0D19"/>
    <w:rsid w:val="005E7D9B"/>
    <w:rsid w:val="00611A2A"/>
    <w:rsid w:val="0065481F"/>
    <w:rsid w:val="00661D82"/>
    <w:rsid w:val="006A02CE"/>
    <w:rsid w:val="006D38A3"/>
    <w:rsid w:val="006E5A7A"/>
    <w:rsid w:val="00703DD4"/>
    <w:rsid w:val="00722236"/>
    <w:rsid w:val="00746443"/>
    <w:rsid w:val="00753A88"/>
    <w:rsid w:val="00791AA4"/>
    <w:rsid w:val="00836EE2"/>
    <w:rsid w:val="008933EF"/>
    <w:rsid w:val="008D0BD4"/>
    <w:rsid w:val="008F7FE0"/>
    <w:rsid w:val="00900B74"/>
    <w:rsid w:val="00934486"/>
    <w:rsid w:val="00940FA2"/>
    <w:rsid w:val="009625FC"/>
    <w:rsid w:val="00975985"/>
    <w:rsid w:val="00980CBA"/>
    <w:rsid w:val="009A2F43"/>
    <w:rsid w:val="009E0540"/>
    <w:rsid w:val="009E37B8"/>
    <w:rsid w:val="00A21310"/>
    <w:rsid w:val="00A768B9"/>
    <w:rsid w:val="00A94031"/>
    <w:rsid w:val="00AC5F70"/>
    <w:rsid w:val="00AE2A4E"/>
    <w:rsid w:val="00AF0C78"/>
    <w:rsid w:val="00AF23C3"/>
    <w:rsid w:val="00AF4723"/>
    <w:rsid w:val="00B17C5A"/>
    <w:rsid w:val="00B21027"/>
    <w:rsid w:val="00B24938"/>
    <w:rsid w:val="00B44BCB"/>
    <w:rsid w:val="00B54DB7"/>
    <w:rsid w:val="00B62EDF"/>
    <w:rsid w:val="00B9054F"/>
    <w:rsid w:val="00B92C9B"/>
    <w:rsid w:val="00BE2372"/>
    <w:rsid w:val="00C03363"/>
    <w:rsid w:val="00C24E31"/>
    <w:rsid w:val="00C518A7"/>
    <w:rsid w:val="00C51E15"/>
    <w:rsid w:val="00C5204B"/>
    <w:rsid w:val="00CC352F"/>
    <w:rsid w:val="00CE4CA0"/>
    <w:rsid w:val="00D618C2"/>
    <w:rsid w:val="00E11F45"/>
    <w:rsid w:val="00E35A0D"/>
    <w:rsid w:val="00E44089"/>
    <w:rsid w:val="00E47CB3"/>
    <w:rsid w:val="00E651B8"/>
    <w:rsid w:val="00E7620B"/>
    <w:rsid w:val="00ED2527"/>
    <w:rsid w:val="00EE43A4"/>
    <w:rsid w:val="00F04C43"/>
    <w:rsid w:val="00F1795E"/>
    <w:rsid w:val="00F30823"/>
    <w:rsid w:val="00F43FB0"/>
    <w:rsid w:val="00F64489"/>
    <w:rsid w:val="00F721DC"/>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5CA7E87-EF20-4009-84DF-9F9CE6C8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BFBA46D-EEFD-4076-B0EF-49512AC82DC5}"/>
</file>

<file path=customXml/itemProps2.xml><?xml version="1.0" encoding="utf-8"?>
<ds:datastoreItem xmlns:ds="http://schemas.openxmlformats.org/officeDocument/2006/customXml" ds:itemID="{E481D51A-BE56-4BA3-9DD8-184D34E51B1D}"/>
</file>

<file path=customXml/itemProps3.xml><?xml version="1.0" encoding="utf-8"?>
<ds:datastoreItem xmlns:ds="http://schemas.openxmlformats.org/officeDocument/2006/customXml" ds:itemID="{04E9400C-88D8-4A65-A57B-F5EB4D0C30E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2338</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