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FF" w:rsidRPr="00BF18F1" w:rsidRDefault="00B775CB" w:rsidP="00BF18F1">
      <w:pPr>
        <w:tabs>
          <w:tab w:val="left" w:pos="3544"/>
        </w:tabs>
        <w:jc w:val="both"/>
        <w:rPr>
          <w:rFonts w:ascii="Arial" w:hAnsi="Arial" w:cs="Arial"/>
          <w:b/>
          <w:bCs/>
          <w:sz w:val="22"/>
          <w:szCs w:val="22"/>
          <w:lang w:val="fr-LU"/>
        </w:rPr>
      </w:pPr>
      <w:bookmarkStart w:id="0" w:name="_GoBack"/>
      <w:bookmarkEnd w:id="0"/>
      <w:r w:rsidRPr="00BF18F1">
        <w:rPr>
          <w:rFonts w:ascii="Arial" w:hAnsi="Arial" w:cs="Arial"/>
          <w:b/>
          <w:bCs/>
          <w:sz w:val="22"/>
          <w:szCs w:val="22"/>
          <w:lang w:val="fr-LU"/>
        </w:rPr>
        <w:t>Projet de loi</w:t>
      </w:r>
      <w:r w:rsidR="00BF18F1" w:rsidRPr="00BF18F1">
        <w:rPr>
          <w:rFonts w:ascii="Arial" w:hAnsi="Arial" w:cs="Arial"/>
          <w:b/>
          <w:noProof/>
          <w:sz w:val="22"/>
          <w:szCs w:val="22"/>
          <w:lang w:val="fr-FR"/>
        </w:rPr>
        <w:t xml:space="preserve"> 6767</w:t>
      </w:r>
      <w:r w:rsidR="00BF18F1">
        <w:rPr>
          <w:rFonts w:ascii="Arial" w:hAnsi="Arial" w:cs="Arial"/>
          <w:b/>
          <w:noProof/>
          <w:sz w:val="22"/>
          <w:szCs w:val="22"/>
          <w:lang w:val="fr-FR"/>
        </w:rPr>
        <w:t xml:space="preserve"> </w:t>
      </w:r>
      <w:r w:rsidR="00C770FF" w:rsidRPr="00BF18F1">
        <w:rPr>
          <w:rFonts w:ascii="Arial" w:hAnsi="Arial" w:cs="Arial"/>
          <w:b/>
          <w:bCs/>
          <w:sz w:val="22"/>
          <w:szCs w:val="22"/>
          <w:lang w:val="fr-LU"/>
        </w:rPr>
        <w:t>modifiant la loi modifiée du 12 février 1979 concernant la taxe sur la valeur ajoutée</w:t>
      </w:r>
    </w:p>
    <w:p w:rsidR="00B775CB" w:rsidRPr="00CD503B" w:rsidRDefault="00B775CB" w:rsidP="00086E6E">
      <w:pPr>
        <w:jc w:val="both"/>
        <w:rPr>
          <w:rFonts w:ascii="Arial" w:hAnsi="Arial" w:cs="Arial"/>
          <w:b/>
          <w:noProof/>
          <w:color w:val="C0504D"/>
          <w:sz w:val="22"/>
          <w:szCs w:val="22"/>
          <w:lang w:val="fr-FR"/>
        </w:rPr>
      </w:pPr>
    </w:p>
    <w:p w:rsidR="002D504D" w:rsidRPr="00CD503B" w:rsidRDefault="002D504D" w:rsidP="00CD503B">
      <w:pPr>
        <w:widowControl w:val="0"/>
        <w:autoSpaceDE w:val="0"/>
        <w:autoSpaceDN w:val="0"/>
        <w:adjustRightInd w:val="0"/>
        <w:spacing w:after="240"/>
        <w:jc w:val="both"/>
        <w:rPr>
          <w:rFonts w:ascii="Arial" w:eastAsia="Times New Roman" w:hAnsi="Arial" w:cs="Arial"/>
          <w:sz w:val="22"/>
          <w:szCs w:val="22"/>
          <w:lang w:val="fr-FR"/>
        </w:rPr>
      </w:pPr>
      <w:r w:rsidRPr="00CD503B">
        <w:rPr>
          <w:rFonts w:ascii="Arial" w:eastAsia="Times New Roman" w:hAnsi="Arial" w:cs="Arial"/>
          <w:sz w:val="22"/>
          <w:szCs w:val="22"/>
          <w:lang w:val="fr-FR"/>
        </w:rPr>
        <w:t>Le projet de loi sous rubrique a deux objets: il s’agit</w:t>
      </w:r>
      <w:r w:rsidR="004B6170">
        <w:rPr>
          <w:rFonts w:ascii="Arial" w:eastAsia="Times New Roman" w:hAnsi="Arial" w:cs="Arial"/>
          <w:sz w:val="22"/>
          <w:szCs w:val="22"/>
          <w:lang w:val="fr-FR"/>
        </w:rPr>
        <w:t>,</w:t>
      </w:r>
      <w:r w:rsidRPr="00CD503B">
        <w:rPr>
          <w:rFonts w:ascii="Arial" w:eastAsia="Times New Roman" w:hAnsi="Arial" w:cs="Arial"/>
          <w:sz w:val="22"/>
          <w:szCs w:val="22"/>
          <w:lang w:val="fr-FR"/>
        </w:rPr>
        <w:t xml:space="preserve"> </w:t>
      </w:r>
      <w:r w:rsidR="004B6170" w:rsidRPr="00CD503B">
        <w:rPr>
          <w:rFonts w:ascii="Arial" w:eastAsia="Times New Roman" w:hAnsi="Arial" w:cs="Arial"/>
          <w:sz w:val="22"/>
          <w:szCs w:val="22"/>
          <w:lang w:val="fr-FR"/>
        </w:rPr>
        <w:t>d’une part</w:t>
      </w:r>
      <w:r w:rsidR="004B6170">
        <w:rPr>
          <w:rFonts w:ascii="Arial" w:eastAsia="Times New Roman" w:hAnsi="Arial" w:cs="Arial"/>
          <w:sz w:val="22"/>
          <w:szCs w:val="22"/>
          <w:lang w:val="fr-FR"/>
        </w:rPr>
        <w:t>,</w:t>
      </w:r>
      <w:r w:rsidR="004B6170" w:rsidRPr="00CD503B">
        <w:rPr>
          <w:rFonts w:ascii="Arial" w:eastAsia="Times New Roman" w:hAnsi="Arial" w:cs="Arial"/>
          <w:sz w:val="22"/>
          <w:szCs w:val="22"/>
          <w:lang w:val="fr-FR"/>
        </w:rPr>
        <w:t xml:space="preserve"> </w:t>
      </w:r>
      <w:r w:rsidRPr="00CD503B">
        <w:rPr>
          <w:rFonts w:ascii="Arial" w:eastAsia="Times New Roman" w:hAnsi="Arial" w:cs="Arial"/>
          <w:sz w:val="22"/>
          <w:szCs w:val="22"/>
          <w:lang w:val="fr-FR"/>
        </w:rPr>
        <w:t>d’adapt</w:t>
      </w:r>
      <w:r w:rsidR="004B6170">
        <w:rPr>
          <w:rFonts w:ascii="Arial" w:eastAsia="Times New Roman" w:hAnsi="Arial" w:cs="Arial"/>
          <w:sz w:val="22"/>
          <w:szCs w:val="22"/>
          <w:lang w:val="fr-FR"/>
        </w:rPr>
        <w:t>er</w:t>
      </w:r>
      <w:r w:rsidRPr="00CD503B">
        <w:rPr>
          <w:rFonts w:ascii="Arial" w:eastAsia="Times New Roman" w:hAnsi="Arial" w:cs="Arial"/>
          <w:sz w:val="22"/>
          <w:szCs w:val="22"/>
          <w:lang w:val="fr-FR"/>
        </w:rPr>
        <w:t xml:space="preserve"> </w:t>
      </w:r>
      <w:r w:rsidR="004B6170">
        <w:rPr>
          <w:rFonts w:ascii="Arial" w:eastAsia="Times New Roman" w:hAnsi="Arial" w:cs="Arial"/>
          <w:sz w:val="22"/>
          <w:szCs w:val="22"/>
          <w:lang w:val="fr-FR"/>
        </w:rPr>
        <w:t>le</w:t>
      </w:r>
      <w:r w:rsidRPr="00CD503B">
        <w:rPr>
          <w:rFonts w:ascii="Arial" w:eastAsia="Times New Roman" w:hAnsi="Arial" w:cs="Arial"/>
          <w:sz w:val="22"/>
          <w:szCs w:val="22"/>
          <w:lang w:val="fr-FR"/>
        </w:rPr>
        <w:t xml:space="preserve"> taux de compensation du régime d’imposition forfaitaire de l’agriculture et de la sylviculture</w:t>
      </w:r>
      <w:r w:rsidR="004E5079">
        <w:rPr>
          <w:rFonts w:ascii="Arial" w:eastAsia="Times New Roman" w:hAnsi="Arial" w:cs="Arial"/>
          <w:sz w:val="22"/>
          <w:szCs w:val="22"/>
          <w:lang w:val="fr-FR"/>
        </w:rPr>
        <w:t>,</w:t>
      </w:r>
      <w:r w:rsidRPr="00CD503B">
        <w:rPr>
          <w:rFonts w:ascii="Arial" w:eastAsia="Times New Roman" w:hAnsi="Arial" w:cs="Arial"/>
          <w:sz w:val="22"/>
          <w:szCs w:val="22"/>
          <w:lang w:val="fr-FR"/>
        </w:rPr>
        <w:t xml:space="preserve"> et</w:t>
      </w:r>
      <w:r w:rsidR="004B6170">
        <w:rPr>
          <w:rFonts w:ascii="Arial" w:eastAsia="Times New Roman" w:hAnsi="Arial" w:cs="Arial"/>
          <w:sz w:val="22"/>
          <w:szCs w:val="22"/>
          <w:lang w:val="fr-FR"/>
        </w:rPr>
        <w:t>,</w:t>
      </w:r>
      <w:r w:rsidRPr="00CD503B">
        <w:rPr>
          <w:rFonts w:ascii="Arial" w:eastAsia="Times New Roman" w:hAnsi="Arial" w:cs="Arial"/>
          <w:sz w:val="22"/>
          <w:szCs w:val="22"/>
          <w:lang w:val="fr-FR"/>
        </w:rPr>
        <w:t xml:space="preserve"> d’autre part, d’étendre le champ d’application des dispositions de ce régime aux activités de production de semences respectivement de plants.</w:t>
      </w:r>
    </w:p>
    <w:p w:rsidR="004E5079" w:rsidRDefault="004E5079" w:rsidP="00CD503B">
      <w:pPr>
        <w:widowControl w:val="0"/>
        <w:autoSpaceDE w:val="0"/>
        <w:autoSpaceDN w:val="0"/>
        <w:adjustRightInd w:val="0"/>
        <w:spacing w:after="240"/>
        <w:jc w:val="both"/>
        <w:rPr>
          <w:rFonts w:ascii="Arial" w:eastAsia="Times New Roman" w:hAnsi="Arial" w:cs="Arial"/>
          <w:sz w:val="22"/>
          <w:szCs w:val="22"/>
          <w:lang w:val="fr-FR"/>
        </w:rPr>
      </w:pPr>
      <w:r>
        <w:rPr>
          <w:rFonts w:ascii="Arial" w:eastAsia="Times New Roman" w:hAnsi="Arial" w:cs="Arial"/>
          <w:sz w:val="22"/>
          <w:szCs w:val="22"/>
          <w:lang w:val="fr-FR"/>
        </w:rPr>
        <w:t>Premièrement, l</w:t>
      </w:r>
      <w:r w:rsidR="005221BD" w:rsidRPr="00CD503B">
        <w:rPr>
          <w:rFonts w:ascii="Arial" w:eastAsia="Times New Roman" w:hAnsi="Arial" w:cs="Arial"/>
          <w:sz w:val="22"/>
          <w:szCs w:val="22"/>
          <w:lang w:val="fr-FR"/>
        </w:rPr>
        <w:t>es taux de compensation respectifs de l’ag</w:t>
      </w:r>
      <w:r w:rsidR="00CD503B" w:rsidRPr="00CD503B">
        <w:rPr>
          <w:rFonts w:ascii="Arial" w:eastAsia="Times New Roman" w:hAnsi="Arial" w:cs="Arial"/>
          <w:sz w:val="22"/>
          <w:szCs w:val="22"/>
          <w:lang w:val="fr-FR"/>
        </w:rPr>
        <w:t xml:space="preserve">riculture et de la sylviculture, </w:t>
      </w:r>
      <w:r w:rsidR="005221BD" w:rsidRPr="00CD503B">
        <w:rPr>
          <w:rFonts w:ascii="Arial" w:eastAsia="Times New Roman" w:hAnsi="Arial" w:cs="Arial"/>
          <w:sz w:val="22"/>
          <w:szCs w:val="22"/>
          <w:lang w:val="fr-FR"/>
        </w:rPr>
        <w:t>établis par l’article 58, paragraphe 2, de la loi modifiée du 12 février 1979 concernant la taxe sur la valeur ajoutée</w:t>
      </w:r>
      <w:r w:rsidR="00CD503B" w:rsidRPr="00CD503B">
        <w:rPr>
          <w:rFonts w:ascii="Arial" w:eastAsia="Times New Roman" w:hAnsi="Arial" w:cs="Arial"/>
          <w:sz w:val="22"/>
          <w:szCs w:val="22"/>
          <w:lang w:val="fr-FR"/>
        </w:rPr>
        <w:t>,</w:t>
      </w:r>
      <w:r w:rsidR="005221BD" w:rsidRPr="00CD503B">
        <w:rPr>
          <w:rFonts w:ascii="Arial" w:eastAsia="Times New Roman" w:hAnsi="Arial" w:cs="Arial"/>
          <w:sz w:val="22"/>
          <w:szCs w:val="22"/>
          <w:lang w:val="fr-FR"/>
        </w:rPr>
        <w:t xml:space="preserve"> sont calculés en fonction de la charge moyenne de TVA qui grève les éléments utilisés pour les besoins des exploitations agricoles </w:t>
      </w:r>
      <w:r w:rsidR="00CD503B" w:rsidRPr="00CD503B">
        <w:rPr>
          <w:rFonts w:ascii="Arial" w:eastAsia="Times New Roman" w:hAnsi="Arial" w:cs="Arial"/>
          <w:sz w:val="22"/>
          <w:szCs w:val="22"/>
          <w:lang w:val="fr-FR"/>
        </w:rPr>
        <w:t>respectivement sylvicoles. Cette méthode suit les prescriptions des articles 297 à 299 de la directive 2006/112/CE du Conseil du 28 novembre 2006 relative au système commun de taxe sur la valeur ajoutée. En effet, ces pourcentages forfaitaires de compensation sont déterminés sur la base des données macroéconomiques relatives aux seuls agriculteurs forfaitaires des trois dernières années. Les pourcentages peuvent être arrondis au demi-point inférieur ou supérieur. Les données en question sont établies par la division des comptes économiques et des statistiques agricoles du Service d’Economie rurale (SER) du Ministère de l’Agriculture, de la Viticulture et de la Protection des consommateurs. D’après les dernières en date, la moyenne du taux forfaitaire statistique de compensation dans l’agriculture s’élève à 11,61 pour cent. Le taux forfaitaire légal de compensation dans l’agriculture étant de 10 pour cent (article 58, p</w:t>
      </w:r>
      <w:r w:rsidR="00D61AFD">
        <w:rPr>
          <w:rFonts w:ascii="Arial" w:eastAsia="Times New Roman" w:hAnsi="Arial" w:cs="Arial"/>
          <w:sz w:val="22"/>
          <w:szCs w:val="22"/>
          <w:lang w:val="fr-FR"/>
        </w:rPr>
        <w:t>aragraphe 2, alinéa 1, point a)</w:t>
      </w:r>
      <w:r w:rsidR="00CD503B" w:rsidRPr="00CD503B">
        <w:rPr>
          <w:rFonts w:ascii="Arial" w:eastAsia="Times New Roman" w:hAnsi="Arial" w:cs="Arial"/>
          <w:sz w:val="22"/>
          <w:szCs w:val="22"/>
          <w:lang w:val="fr-FR"/>
        </w:rPr>
        <w:t xml:space="preserve"> de ladite loi du 12 février 1979)</w:t>
      </w:r>
      <w:r w:rsidR="00D61AFD">
        <w:rPr>
          <w:rFonts w:ascii="Arial" w:eastAsia="Times New Roman" w:hAnsi="Arial" w:cs="Arial"/>
          <w:sz w:val="22"/>
          <w:szCs w:val="22"/>
          <w:lang w:val="fr-FR"/>
        </w:rPr>
        <w:t>,</w:t>
      </w:r>
      <w:r w:rsidR="00CD503B" w:rsidRPr="00CD503B">
        <w:rPr>
          <w:rFonts w:ascii="Arial" w:eastAsia="Times New Roman" w:hAnsi="Arial" w:cs="Arial"/>
          <w:sz w:val="22"/>
          <w:szCs w:val="22"/>
          <w:lang w:val="fr-FR"/>
        </w:rPr>
        <w:t xml:space="preserve"> il y a lieu de relever le taux forfaitaire légal à 12 pour cent. </w:t>
      </w:r>
    </w:p>
    <w:p w:rsidR="004E5079" w:rsidRPr="00CD503B" w:rsidRDefault="004E5079" w:rsidP="00CD503B">
      <w:pPr>
        <w:widowControl w:val="0"/>
        <w:autoSpaceDE w:val="0"/>
        <w:autoSpaceDN w:val="0"/>
        <w:adjustRightInd w:val="0"/>
        <w:spacing w:after="240"/>
        <w:jc w:val="both"/>
        <w:rPr>
          <w:rFonts w:ascii="Arial" w:eastAsia="Times New Roman" w:hAnsi="Arial" w:cs="Arial"/>
          <w:sz w:val="22"/>
          <w:szCs w:val="22"/>
          <w:lang w:val="fr-FR"/>
        </w:rPr>
      </w:pPr>
      <w:r w:rsidRPr="004E5079">
        <w:rPr>
          <w:rFonts w:ascii="Arial" w:eastAsia="Times New Roman" w:hAnsi="Arial" w:cs="Arial"/>
          <w:sz w:val="22"/>
          <w:szCs w:val="22"/>
          <w:lang w:val="fr-FR"/>
        </w:rPr>
        <w:t xml:space="preserve">Deuxièmement, </w:t>
      </w:r>
      <w:r>
        <w:rPr>
          <w:rFonts w:ascii="Arial" w:eastAsia="Times New Roman" w:hAnsi="Arial" w:cs="Arial"/>
          <w:sz w:val="22"/>
          <w:szCs w:val="22"/>
          <w:lang w:val="fr-FR"/>
        </w:rPr>
        <w:t>l</w:t>
      </w:r>
      <w:r w:rsidRPr="004E5079">
        <w:rPr>
          <w:rFonts w:ascii="Arial" w:eastAsia="Times New Roman" w:hAnsi="Arial" w:cs="Arial"/>
          <w:sz w:val="22"/>
          <w:szCs w:val="22"/>
          <w:lang w:val="fr-FR"/>
        </w:rPr>
        <w:t xml:space="preserve">a production de semences et de plants étant une activité agricole exercée parallèlement à l’agriculture, la viticulture et l’horticulture maraîchère générale par des assujettis soumis au régime d’imposition forfaitaire agricole, il est proposé d’intégrer ladite production dans le champ d’application du régime d’imposition forfaitaire agricole. </w:t>
      </w:r>
      <w:r>
        <w:rPr>
          <w:rFonts w:ascii="Arial" w:eastAsia="Times New Roman" w:hAnsi="Arial" w:cs="Arial"/>
          <w:sz w:val="22"/>
          <w:szCs w:val="22"/>
          <w:lang w:val="fr-FR"/>
        </w:rPr>
        <w:t xml:space="preserve">Cette modification concerne l’article 59 </w:t>
      </w:r>
      <w:r w:rsidRPr="00CD503B">
        <w:rPr>
          <w:rFonts w:ascii="Arial" w:eastAsia="Times New Roman" w:hAnsi="Arial" w:cs="Arial"/>
          <w:sz w:val="22"/>
          <w:szCs w:val="22"/>
          <w:lang w:val="fr-FR"/>
        </w:rPr>
        <w:t>de la loi modifiée du 12 février 1979 concernant la taxe sur la valeur ajoutée</w:t>
      </w:r>
      <w:r>
        <w:rPr>
          <w:rFonts w:ascii="Arial" w:eastAsia="Times New Roman" w:hAnsi="Arial" w:cs="Arial"/>
          <w:sz w:val="22"/>
          <w:szCs w:val="22"/>
          <w:lang w:val="fr-FR"/>
        </w:rPr>
        <w:t>.</w:t>
      </w:r>
    </w:p>
    <w:p w:rsidR="006E1E59" w:rsidRPr="008B4A74" w:rsidRDefault="006E1E59" w:rsidP="006E1E59">
      <w:pPr>
        <w:jc w:val="both"/>
        <w:rPr>
          <w:rFonts w:ascii="Arial" w:hAnsi="Arial" w:cs="Arial"/>
          <w:b/>
          <w:noProof/>
          <w:color w:val="C0504D"/>
          <w:sz w:val="22"/>
          <w:szCs w:val="22"/>
          <w:lang w:val="fr-FR"/>
        </w:rPr>
      </w:pPr>
    </w:p>
    <w:sectPr w:rsidR="006E1E59" w:rsidRPr="008B4A74" w:rsidSect="00BF18F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B9" w:rsidRDefault="00552FB9" w:rsidP="00B775CB">
      <w:r>
        <w:separator/>
      </w:r>
    </w:p>
  </w:endnote>
  <w:endnote w:type="continuationSeparator" w:id="0">
    <w:p w:rsidR="00552FB9" w:rsidRDefault="00552FB9"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B9" w:rsidRDefault="00552FB9" w:rsidP="00B775CB">
      <w:r>
        <w:separator/>
      </w:r>
    </w:p>
  </w:footnote>
  <w:footnote w:type="continuationSeparator" w:id="0">
    <w:p w:rsidR="00552FB9" w:rsidRDefault="00552FB9" w:rsidP="00B775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0"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5"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8"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29"/>
  </w:num>
  <w:num w:numId="4">
    <w:abstractNumId w:val="27"/>
  </w:num>
  <w:num w:numId="5">
    <w:abstractNumId w:val="5"/>
  </w:num>
  <w:num w:numId="6">
    <w:abstractNumId w:val="24"/>
  </w:num>
  <w:num w:numId="7">
    <w:abstractNumId w:val="1"/>
  </w:num>
  <w:num w:numId="8">
    <w:abstractNumId w:val="2"/>
  </w:num>
  <w:num w:numId="9">
    <w:abstractNumId w:val="0"/>
  </w:num>
  <w:num w:numId="10">
    <w:abstractNumId w:val="3"/>
  </w:num>
  <w:num w:numId="11">
    <w:abstractNumId w:val="31"/>
  </w:num>
  <w:num w:numId="12">
    <w:abstractNumId w:val="9"/>
  </w:num>
  <w:num w:numId="13">
    <w:abstractNumId w:val="6"/>
  </w:num>
  <w:num w:numId="14">
    <w:abstractNumId w:val="22"/>
  </w:num>
  <w:num w:numId="15">
    <w:abstractNumId w:val="15"/>
  </w:num>
  <w:num w:numId="16">
    <w:abstractNumId w:val="16"/>
  </w:num>
  <w:num w:numId="17">
    <w:abstractNumId w:val="7"/>
  </w:num>
  <w:num w:numId="18">
    <w:abstractNumId w:val="4"/>
  </w:num>
  <w:num w:numId="19">
    <w:abstractNumId w:val="23"/>
  </w:num>
  <w:num w:numId="20">
    <w:abstractNumId w:val="14"/>
  </w:num>
  <w:num w:numId="21">
    <w:abstractNumId w:val="25"/>
  </w:num>
  <w:num w:numId="22">
    <w:abstractNumId w:val="21"/>
  </w:num>
  <w:num w:numId="23">
    <w:abstractNumId w:val="19"/>
  </w:num>
  <w:num w:numId="24">
    <w:abstractNumId w:val="18"/>
  </w:num>
  <w:num w:numId="25">
    <w:abstractNumId w:val="26"/>
  </w:num>
  <w:num w:numId="26">
    <w:abstractNumId w:val="28"/>
  </w:num>
  <w:num w:numId="27">
    <w:abstractNumId w:val="13"/>
  </w:num>
  <w:num w:numId="28">
    <w:abstractNumId w:val="8"/>
  </w:num>
  <w:num w:numId="29">
    <w:abstractNumId w:val="11"/>
  </w:num>
  <w:num w:numId="30">
    <w:abstractNumId w:val="12"/>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143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57336"/>
    <w:rsid w:val="00086E6E"/>
    <w:rsid w:val="000A6058"/>
    <w:rsid w:val="000A7329"/>
    <w:rsid w:val="000C1F1D"/>
    <w:rsid w:val="000D290D"/>
    <w:rsid w:val="000D71CF"/>
    <w:rsid w:val="0010469C"/>
    <w:rsid w:val="001139A0"/>
    <w:rsid w:val="00115785"/>
    <w:rsid w:val="00124842"/>
    <w:rsid w:val="001443ED"/>
    <w:rsid w:val="00153174"/>
    <w:rsid w:val="001554F2"/>
    <w:rsid w:val="001717BD"/>
    <w:rsid w:val="001A4DC2"/>
    <w:rsid w:val="001C0DD6"/>
    <w:rsid w:val="001C79C6"/>
    <w:rsid w:val="001D65D7"/>
    <w:rsid w:val="001E733E"/>
    <w:rsid w:val="001F4F14"/>
    <w:rsid w:val="001F6CD1"/>
    <w:rsid w:val="00215286"/>
    <w:rsid w:val="00216506"/>
    <w:rsid w:val="002220E0"/>
    <w:rsid w:val="00233085"/>
    <w:rsid w:val="00233914"/>
    <w:rsid w:val="00233FCE"/>
    <w:rsid w:val="00236B9F"/>
    <w:rsid w:val="00245527"/>
    <w:rsid w:val="002609D3"/>
    <w:rsid w:val="002C1855"/>
    <w:rsid w:val="002D504D"/>
    <w:rsid w:val="002E116B"/>
    <w:rsid w:val="002E6CFC"/>
    <w:rsid w:val="00332AA2"/>
    <w:rsid w:val="00361390"/>
    <w:rsid w:val="003844D5"/>
    <w:rsid w:val="00396ECE"/>
    <w:rsid w:val="003A0C16"/>
    <w:rsid w:val="003B39A4"/>
    <w:rsid w:val="003B677B"/>
    <w:rsid w:val="003D0A59"/>
    <w:rsid w:val="003D1241"/>
    <w:rsid w:val="003E0B79"/>
    <w:rsid w:val="003E69CE"/>
    <w:rsid w:val="003F6A9F"/>
    <w:rsid w:val="00401BC1"/>
    <w:rsid w:val="004030B0"/>
    <w:rsid w:val="00405F0D"/>
    <w:rsid w:val="004229B6"/>
    <w:rsid w:val="00431EF7"/>
    <w:rsid w:val="0043242A"/>
    <w:rsid w:val="004423E9"/>
    <w:rsid w:val="00464086"/>
    <w:rsid w:val="00472AFC"/>
    <w:rsid w:val="004823B7"/>
    <w:rsid w:val="004B6170"/>
    <w:rsid w:val="004C08ED"/>
    <w:rsid w:val="004C338A"/>
    <w:rsid w:val="004C66BD"/>
    <w:rsid w:val="004D5D39"/>
    <w:rsid w:val="004E1CC4"/>
    <w:rsid w:val="004E5079"/>
    <w:rsid w:val="004F10F8"/>
    <w:rsid w:val="005221BD"/>
    <w:rsid w:val="00540F2C"/>
    <w:rsid w:val="00552FB9"/>
    <w:rsid w:val="00556E1C"/>
    <w:rsid w:val="005701F7"/>
    <w:rsid w:val="005A5445"/>
    <w:rsid w:val="005B2729"/>
    <w:rsid w:val="005B49F1"/>
    <w:rsid w:val="005D7602"/>
    <w:rsid w:val="005D789F"/>
    <w:rsid w:val="005E7030"/>
    <w:rsid w:val="00604BCC"/>
    <w:rsid w:val="0061467F"/>
    <w:rsid w:val="006265EF"/>
    <w:rsid w:val="00637738"/>
    <w:rsid w:val="0064715D"/>
    <w:rsid w:val="00657FA8"/>
    <w:rsid w:val="00677471"/>
    <w:rsid w:val="0068698B"/>
    <w:rsid w:val="006A06E8"/>
    <w:rsid w:val="006B400E"/>
    <w:rsid w:val="006B704B"/>
    <w:rsid w:val="006C1F4E"/>
    <w:rsid w:val="006C3F9B"/>
    <w:rsid w:val="006E1070"/>
    <w:rsid w:val="006E1E59"/>
    <w:rsid w:val="006E7555"/>
    <w:rsid w:val="006F5B8B"/>
    <w:rsid w:val="007008D8"/>
    <w:rsid w:val="00717F1F"/>
    <w:rsid w:val="0072264C"/>
    <w:rsid w:val="00774D5E"/>
    <w:rsid w:val="007910CC"/>
    <w:rsid w:val="00791C1F"/>
    <w:rsid w:val="007D107A"/>
    <w:rsid w:val="007F47F9"/>
    <w:rsid w:val="007F61CF"/>
    <w:rsid w:val="0080517E"/>
    <w:rsid w:val="008077B1"/>
    <w:rsid w:val="0081472E"/>
    <w:rsid w:val="00815CF6"/>
    <w:rsid w:val="008359BE"/>
    <w:rsid w:val="008371A1"/>
    <w:rsid w:val="0085465A"/>
    <w:rsid w:val="0086630D"/>
    <w:rsid w:val="008969AF"/>
    <w:rsid w:val="00896AC2"/>
    <w:rsid w:val="008A6255"/>
    <w:rsid w:val="008A785F"/>
    <w:rsid w:val="008B4A74"/>
    <w:rsid w:val="008C666F"/>
    <w:rsid w:val="008E3BB9"/>
    <w:rsid w:val="008F5F84"/>
    <w:rsid w:val="00907C68"/>
    <w:rsid w:val="00927DEB"/>
    <w:rsid w:val="00981402"/>
    <w:rsid w:val="009825AF"/>
    <w:rsid w:val="009D0657"/>
    <w:rsid w:val="009E632A"/>
    <w:rsid w:val="009E71DC"/>
    <w:rsid w:val="009E7DC3"/>
    <w:rsid w:val="009F07BB"/>
    <w:rsid w:val="00A01246"/>
    <w:rsid w:val="00A138A1"/>
    <w:rsid w:val="00A165A4"/>
    <w:rsid w:val="00A212E8"/>
    <w:rsid w:val="00A22DF9"/>
    <w:rsid w:val="00A2499A"/>
    <w:rsid w:val="00A44BC9"/>
    <w:rsid w:val="00A50462"/>
    <w:rsid w:val="00A670BE"/>
    <w:rsid w:val="00A71878"/>
    <w:rsid w:val="00A968FF"/>
    <w:rsid w:val="00B04FD3"/>
    <w:rsid w:val="00B17B44"/>
    <w:rsid w:val="00B30EA5"/>
    <w:rsid w:val="00B477B7"/>
    <w:rsid w:val="00B526D3"/>
    <w:rsid w:val="00B775CB"/>
    <w:rsid w:val="00B83C77"/>
    <w:rsid w:val="00B970E4"/>
    <w:rsid w:val="00BA56CF"/>
    <w:rsid w:val="00BB3474"/>
    <w:rsid w:val="00BB5608"/>
    <w:rsid w:val="00BD11A8"/>
    <w:rsid w:val="00BF18F1"/>
    <w:rsid w:val="00BF39B7"/>
    <w:rsid w:val="00C02E22"/>
    <w:rsid w:val="00C25F79"/>
    <w:rsid w:val="00C34BD6"/>
    <w:rsid w:val="00C46894"/>
    <w:rsid w:val="00C506AC"/>
    <w:rsid w:val="00C770FF"/>
    <w:rsid w:val="00CD503B"/>
    <w:rsid w:val="00CD6AA6"/>
    <w:rsid w:val="00CF02CA"/>
    <w:rsid w:val="00D0770B"/>
    <w:rsid w:val="00D109DA"/>
    <w:rsid w:val="00D300A3"/>
    <w:rsid w:val="00D416D3"/>
    <w:rsid w:val="00D50BB2"/>
    <w:rsid w:val="00D52CD0"/>
    <w:rsid w:val="00D61AFD"/>
    <w:rsid w:val="00D66359"/>
    <w:rsid w:val="00D677E2"/>
    <w:rsid w:val="00D7596E"/>
    <w:rsid w:val="00D91AF4"/>
    <w:rsid w:val="00DA0E2A"/>
    <w:rsid w:val="00DA12C8"/>
    <w:rsid w:val="00DB483B"/>
    <w:rsid w:val="00DB7FE7"/>
    <w:rsid w:val="00DD0889"/>
    <w:rsid w:val="00DE42C6"/>
    <w:rsid w:val="00DF2920"/>
    <w:rsid w:val="00E10E4C"/>
    <w:rsid w:val="00E61A63"/>
    <w:rsid w:val="00EA3A77"/>
    <w:rsid w:val="00EC2142"/>
    <w:rsid w:val="00ED4B0F"/>
    <w:rsid w:val="00F1033E"/>
    <w:rsid w:val="00F17704"/>
    <w:rsid w:val="00F349D0"/>
    <w:rsid w:val="00F3604B"/>
    <w:rsid w:val="00F521D1"/>
    <w:rsid w:val="00F61920"/>
    <w:rsid w:val="00FB177C"/>
    <w:rsid w:val="00FB7533"/>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5:chartTrackingRefBased/>
  <w15:docId w15:val="{D83E9097-B87A-40F1-98A3-B8B1D0CD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basedOn w:val="Policepardfaut"/>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basedOn w:val="Policepardfaut"/>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basedOn w:val="Policepardfaut"/>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basedOn w:val="Policepardfaut"/>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basedOn w:val="Policepardfaut"/>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basedOn w:val="Policepardfaut"/>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basedOn w:val="Commentaire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rPr>
  </w:style>
  <w:style w:type="character" w:customStyle="1" w:styleId="PrformatHTMLCar">
    <w:name w:val="Préformaté HTML Car"/>
    <w:basedOn w:val="Policepardfaut"/>
    <w:link w:val="PrformatHTML"/>
    <w:uiPriority w:val="99"/>
    <w:semiHidden/>
    <w:rsid w:val="00FB177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52E0E7B-8A62-4C3E-BC79-CD6025F3259A}"/>
</file>

<file path=customXml/itemProps2.xml><?xml version="1.0" encoding="utf-8"?>
<ds:datastoreItem xmlns:ds="http://schemas.openxmlformats.org/officeDocument/2006/customXml" ds:itemID="{36AE110A-736A-4974-9FD3-C06145559674}"/>
</file>

<file path=customXml/itemProps3.xml><?xml version="1.0" encoding="utf-8"?>
<ds:datastoreItem xmlns:ds="http://schemas.openxmlformats.org/officeDocument/2006/customXml" ds:itemID="{1E2064B1-5FEF-46A4-BCE7-20827619FC3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1964</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