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B7" w:rsidRPr="001248B7" w:rsidRDefault="001248B7" w:rsidP="001248B7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  <w:lang w:val="fr-LU" w:eastAsia="en-GB"/>
        </w:rPr>
      </w:pPr>
      <w:bookmarkStart w:id="0" w:name="_GoBack"/>
      <w:bookmarkEnd w:id="0"/>
      <w:r w:rsidRPr="001248B7">
        <w:rPr>
          <w:rFonts w:cs="Arial"/>
          <w:b/>
          <w:sz w:val="24"/>
          <w:lang w:val="fr-LU" w:eastAsia="en-GB"/>
        </w:rPr>
        <w:t>PL 6740 Résumé</w:t>
      </w:r>
    </w:p>
    <w:p w:rsidR="001248B7" w:rsidRDefault="001248B7" w:rsidP="001248B7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 w:eastAsia="en-GB"/>
        </w:rPr>
      </w:pPr>
    </w:p>
    <w:p w:rsidR="001248B7" w:rsidRDefault="001248B7" w:rsidP="001248B7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 w:eastAsia="en-GB"/>
        </w:rPr>
      </w:pPr>
      <w:r w:rsidRPr="00232E14">
        <w:rPr>
          <w:rFonts w:cs="Arial"/>
          <w:sz w:val="22"/>
          <w:szCs w:val="22"/>
          <w:lang w:val="fr-LU" w:eastAsia="en-GB"/>
        </w:rPr>
        <w:t xml:space="preserve">Le projet de loi sous rubrique vise à faire approuver par la Chambre des Députés le </w:t>
      </w:r>
      <w:r w:rsidRPr="0094100F">
        <w:rPr>
          <w:rFonts w:cs="Arial"/>
          <w:sz w:val="22"/>
          <w:szCs w:val="22"/>
          <w:lang w:val="fr-LU" w:eastAsia="en-GB"/>
        </w:rPr>
        <w:t xml:space="preserve">Protocole entre les </w:t>
      </w:r>
      <w:r w:rsidRPr="006E39EE">
        <w:rPr>
          <w:rFonts w:cs="Arial"/>
          <w:sz w:val="22"/>
          <w:szCs w:val="22"/>
          <w:lang w:val="fr-LU" w:eastAsia="en-GB"/>
        </w:rPr>
        <w:t>Gouvernement</w:t>
      </w:r>
      <w:r>
        <w:rPr>
          <w:rFonts w:cs="Arial"/>
          <w:sz w:val="22"/>
          <w:szCs w:val="22"/>
          <w:lang w:val="fr-LU" w:eastAsia="en-GB"/>
        </w:rPr>
        <w:t>s</w:t>
      </w:r>
      <w:r w:rsidRPr="006E39EE">
        <w:rPr>
          <w:rFonts w:cs="Arial"/>
          <w:sz w:val="22"/>
          <w:szCs w:val="22"/>
          <w:lang w:val="fr-LU" w:eastAsia="en-GB"/>
        </w:rPr>
        <w:t xml:space="preserve"> </w:t>
      </w:r>
      <w:r>
        <w:rPr>
          <w:rFonts w:cs="Arial"/>
          <w:sz w:val="22"/>
          <w:szCs w:val="22"/>
          <w:lang w:val="fr-LU" w:eastAsia="en-GB"/>
        </w:rPr>
        <w:t xml:space="preserve">des </w:t>
      </w:r>
      <w:r w:rsidRPr="006E39EE">
        <w:rPr>
          <w:rFonts w:cs="Arial"/>
          <w:sz w:val="22"/>
          <w:szCs w:val="22"/>
          <w:lang w:val="fr-LU" w:eastAsia="en-GB"/>
        </w:rPr>
        <w:t xml:space="preserve">Etats du Benelux (le Royaume de Belgique, le </w:t>
      </w:r>
      <w:proofErr w:type="spellStart"/>
      <w:r w:rsidRPr="006E39EE">
        <w:rPr>
          <w:rFonts w:cs="Arial"/>
          <w:sz w:val="22"/>
          <w:szCs w:val="22"/>
          <w:lang w:val="fr-LU" w:eastAsia="en-GB"/>
        </w:rPr>
        <w:t>Grand-Duché</w:t>
      </w:r>
      <w:proofErr w:type="spellEnd"/>
      <w:r w:rsidRPr="006E39EE">
        <w:rPr>
          <w:rFonts w:cs="Arial"/>
          <w:sz w:val="22"/>
          <w:szCs w:val="22"/>
          <w:lang w:val="fr-LU" w:eastAsia="en-GB"/>
        </w:rPr>
        <w:t xml:space="preserve"> de Luxembourg et le Royaume des Pays-Bas) et le Gouvernement de la République de Moldova portant sur l’application de l’Accord entre la Communauté européenne et la République de Moldova concernant la réadmission des personnes en séjour irrégulier signé à Bruxelles, le 10 octobre 2007</w:t>
      </w:r>
      <w:r>
        <w:rPr>
          <w:rFonts w:cs="Arial"/>
          <w:sz w:val="22"/>
          <w:szCs w:val="22"/>
          <w:lang w:val="fr-LU" w:eastAsia="en-GB"/>
        </w:rPr>
        <w:t>.</w:t>
      </w:r>
    </w:p>
    <w:p w:rsidR="001248B7" w:rsidRPr="006E39EE" w:rsidRDefault="001248B7" w:rsidP="001248B7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 w:eastAsia="en-GB"/>
        </w:rPr>
      </w:pPr>
      <w:r w:rsidRPr="00232E14">
        <w:rPr>
          <w:rFonts w:cs="Arial"/>
          <w:sz w:val="22"/>
          <w:szCs w:val="22"/>
          <w:lang w:val="fr-LU" w:eastAsia="en-GB"/>
        </w:rPr>
        <w:t xml:space="preserve">Le Protocole qui a été négocié par les Pays-Bas au nom des Etats </w:t>
      </w:r>
      <w:r>
        <w:rPr>
          <w:rFonts w:cs="Arial"/>
          <w:sz w:val="22"/>
          <w:szCs w:val="22"/>
          <w:lang w:val="fr-LU" w:eastAsia="en-GB"/>
        </w:rPr>
        <w:t xml:space="preserve">membres </w:t>
      </w:r>
      <w:r w:rsidRPr="00232E14">
        <w:rPr>
          <w:rFonts w:cs="Arial"/>
          <w:sz w:val="22"/>
          <w:szCs w:val="22"/>
          <w:lang w:val="fr-LU" w:eastAsia="en-GB"/>
        </w:rPr>
        <w:t xml:space="preserve">du Benelux </w:t>
      </w:r>
      <w:r>
        <w:rPr>
          <w:rFonts w:cs="Arial"/>
          <w:sz w:val="22"/>
          <w:szCs w:val="22"/>
          <w:lang w:val="fr-LU" w:eastAsia="en-GB"/>
        </w:rPr>
        <w:t xml:space="preserve">a été signé le 25 janvier 2013 à Bruxelles. Il </w:t>
      </w:r>
      <w:r w:rsidRPr="00232E14">
        <w:rPr>
          <w:rFonts w:cs="Arial"/>
          <w:sz w:val="22"/>
          <w:szCs w:val="22"/>
          <w:lang w:val="fr-LU" w:eastAsia="en-GB"/>
        </w:rPr>
        <w:t>comporte 1</w:t>
      </w:r>
      <w:r>
        <w:rPr>
          <w:rFonts w:cs="Arial"/>
          <w:sz w:val="22"/>
          <w:szCs w:val="22"/>
          <w:lang w:val="fr-LU" w:eastAsia="en-GB"/>
        </w:rPr>
        <w:t>7</w:t>
      </w:r>
      <w:r w:rsidRPr="00232E14">
        <w:rPr>
          <w:rFonts w:cs="Arial"/>
          <w:sz w:val="22"/>
          <w:szCs w:val="22"/>
          <w:lang w:val="fr-LU" w:eastAsia="en-GB"/>
        </w:rPr>
        <w:t xml:space="preserve"> articles </w:t>
      </w:r>
      <w:r>
        <w:rPr>
          <w:rFonts w:cs="Arial"/>
          <w:sz w:val="22"/>
          <w:szCs w:val="22"/>
          <w:lang w:val="fr-LU" w:eastAsia="en-GB"/>
        </w:rPr>
        <w:t xml:space="preserve">et cinq annexes </w:t>
      </w:r>
      <w:r w:rsidRPr="00232E14">
        <w:rPr>
          <w:rFonts w:cs="Arial"/>
          <w:sz w:val="22"/>
          <w:szCs w:val="22"/>
          <w:lang w:val="fr-LU" w:eastAsia="en-GB"/>
        </w:rPr>
        <w:t xml:space="preserve">et se fonde sur l’article 19 de l’Accord de réadmission </w:t>
      </w:r>
      <w:r>
        <w:rPr>
          <w:rFonts w:cs="Arial"/>
          <w:sz w:val="22"/>
          <w:szCs w:val="22"/>
          <w:lang w:val="fr-LU" w:eastAsia="en-GB"/>
        </w:rPr>
        <w:t xml:space="preserve">conclu </w:t>
      </w:r>
      <w:r w:rsidRPr="00232E14">
        <w:rPr>
          <w:rFonts w:cs="Arial"/>
          <w:sz w:val="22"/>
          <w:szCs w:val="22"/>
          <w:lang w:val="fr-LU" w:eastAsia="en-GB"/>
        </w:rPr>
        <w:t>entre l</w:t>
      </w:r>
      <w:r>
        <w:rPr>
          <w:rFonts w:cs="Arial"/>
          <w:sz w:val="22"/>
          <w:szCs w:val="22"/>
          <w:lang w:val="fr-LU" w:eastAsia="en-GB"/>
        </w:rPr>
        <w:t xml:space="preserve">’Union </w:t>
      </w:r>
      <w:r w:rsidRPr="00232E14">
        <w:rPr>
          <w:rFonts w:cs="Arial"/>
          <w:sz w:val="22"/>
          <w:szCs w:val="22"/>
          <w:lang w:val="fr-LU" w:eastAsia="en-GB"/>
        </w:rPr>
        <w:t xml:space="preserve">européenne et </w:t>
      </w:r>
      <w:r>
        <w:rPr>
          <w:rFonts w:cs="Arial"/>
          <w:sz w:val="22"/>
          <w:szCs w:val="22"/>
          <w:lang w:val="fr-LU" w:eastAsia="en-GB"/>
        </w:rPr>
        <w:t xml:space="preserve">la </w:t>
      </w:r>
      <w:r w:rsidRPr="006E39EE">
        <w:rPr>
          <w:rFonts w:cs="Arial"/>
          <w:sz w:val="22"/>
          <w:szCs w:val="22"/>
          <w:lang w:val="fr-LU" w:eastAsia="en-GB"/>
        </w:rPr>
        <w:t>Moldova</w:t>
      </w:r>
      <w:r w:rsidRPr="00232E14">
        <w:rPr>
          <w:rFonts w:cs="Arial"/>
          <w:sz w:val="22"/>
          <w:szCs w:val="22"/>
          <w:lang w:val="fr-LU" w:eastAsia="en-GB"/>
        </w:rPr>
        <w:t xml:space="preserve">. </w:t>
      </w:r>
      <w:r>
        <w:rPr>
          <w:rFonts w:cs="Arial"/>
          <w:sz w:val="22"/>
          <w:szCs w:val="22"/>
          <w:lang w:val="fr-LU" w:eastAsia="en-GB"/>
        </w:rPr>
        <w:t>L</w:t>
      </w:r>
      <w:r w:rsidRPr="00232E14">
        <w:rPr>
          <w:rFonts w:cs="Arial"/>
          <w:sz w:val="22"/>
          <w:szCs w:val="22"/>
          <w:lang w:val="fr-LU" w:eastAsia="en-GB"/>
        </w:rPr>
        <w:t>e premier paragraphe de cet article stipule qu’</w:t>
      </w:r>
      <w:r>
        <w:rPr>
          <w:rFonts w:cs="Arial"/>
          <w:sz w:val="22"/>
          <w:szCs w:val="22"/>
          <w:lang w:val="fr-LU" w:eastAsia="en-GB"/>
        </w:rPr>
        <w:t>« </w:t>
      </w:r>
      <w:r w:rsidRPr="00E233C3">
        <w:rPr>
          <w:rFonts w:cs="Arial"/>
          <w:i/>
          <w:sz w:val="22"/>
          <w:szCs w:val="22"/>
          <w:lang w:val="fr-LU" w:eastAsia="en-GB"/>
        </w:rPr>
        <w:t xml:space="preserve">à la demande </w:t>
      </w:r>
      <w:r w:rsidRPr="006E39EE">
        <w:rPr>
          <w:rFonts w:cs="Arial"/>
          <w:i/>
          <w:sz w:val="22"/>
          <w:szCs w:val="22"/>
          <w:lang w:val="fr-LU" w:eastAsia="en-GB"/>
        </w:rPr>
        <w:t>d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’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un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tat membre ou de la Moldova, la Moldova et cet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tat membre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laborent un protocole d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’</w:t>
      </w:r>
      <w:r w:rsidRPr="006E39EE">
        <w:rPr>
          <w:rFonts w:cs="Arial"/>
          <w:i/>
          <w:sz w:val="22"/>
          <w:szCs w:val="22"/>
          <w:lang w:val="fr-LU" w:eastAsia="en-GB"/>
        </w:rPr>
        <w:t>application d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finissant les r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è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gles relatives aux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l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ments suivants : a) la d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signation des autorit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s comp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tentes, les points de passage frontaliers et l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’é</w:t>
      </w:r>
      <w:r w:rsidRPr="006E39EE">
        <w:rPr>
          <w:rFonts w:cs="Arial"/>
          <w:i/>
          <w:sz w:val="22"/>
          <w:szCs w:val="22"/>
          <w:lang w:val="fr-LU" w:eastAsia="en-GB"/>
        </w:rPr>
        <w:t>change des points de contact ; b) les modalit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s de retour dans le cadre de la proc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dure acc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l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r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e ; c) les conditions applicables au rapatriement sous escorte, y compris au transit sous escorte des ressortissants de pays tiers et des apatrides ; d) les moyens et documents s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’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ajoutant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à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 ceux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num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r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s aux annexes 1 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à</w:t>
      </w:r>
      <w:r w:rsidRPr="006E39EE">
        <w:rPr>
          <w:rFonts w:cs="Arial"/>
          <w:i/>
          <w:sz w:val="22"/>
          <w:szCs w:val="22"/>
          <w:lang w:val="fr-LU" w:eastAsia="en-GB"/>
        </w:rPr>
        <w:t xml:space="preserve"> 4 du pr</w:t>
      </w:r>
      <w:r w:rsidRPr="006E39EE">
        <w:rPr>
          <w:rFonts w:cs="Arial" w:hint="eastAsia"/>
          <w:i/>
          <w:sz w:val="22"/>
          <w:szCs w:val="22"/>
          <w:lang w:val="fr-LU" w:eastAsia="en-GB"/>
        </w:rPr>
        <w:t>é</w:t>
      </w:r>
      <w:r w:rsidRPr="006E39EE">
        <w:rPr>
          <w:rFonts w:cs="Arial"/>
          <w:i/>
          <w:sz w:val="22"/>
          <w:szCs w:val="22"/>
          <w:lang w:val="fr-LU" w:eastAsia="en-GB"/>
        </w:rPr>
        <w:t>sent accord. </w:t>
      </w:r>
      <w:r>
        <w:rPr>
          <w:rFonts w:cs="Arial"/>
          <w:sz w:val="22"/>
          <w:szCs w:val="22"/>
          <w:lang w:val="fr-LU" w:eastAsia="en-GB"/>
        </w:rPr>
        <w:t>»</w:t>
      </w:r>
    </w:p>
    <w:p w:rsidR="000132F2" w:rsidRPr="001248B7" w:rsidRDefault="000132F2">
      <w:pPr>
        <w:rPr>
          <w:lang w:val="fr-LU"/>
        </w:rPr>
      </w:pPr>
    </w:p>
    <w:sectPr w:rsidR="000132F2" w:rsidRPr="001248B7" w:rsidSect="0001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8B7"/>
    <w:rsid w:val="000003DC"/>
    <w:rsid w:val="000132F2"/>
    <w:rsid w:val="001248B7"/>
    <w:rsid w:val="005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56DE72-78B1-4C3D-B734-64755150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B7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EA13E34-1938-4097-90DE-899493AEFA95}"/>
</file>

<file path=customXml/itemProps2.xml><?xml version="1.0" encoding="utf-8"?>
<ds:datastoreItem xmlns:ds="http://schemas.openxmlformats.org/officeDocument/2006/customXml" ds:itemID="{B5E64A11-8F89-4616-BBA8-4D6767EDC396}"/>
</file>

<file path=customXml/itemProps3.xml><?xml version="1.0" encoding="utf-8"?>
<ds:datastoreItem xmlns:ds="http://schemas.openxmlformats.org/officeDocument/2006/customXml" ds:itemID="{8052119E-5DF2-4DCA-A465-510DC6C80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