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D4" w:rsidRPr="00D63D68" w:rsidRDefault="00623BD4" w:rsidP="004728F7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bookmarkStart w:id="0" w:name="_GoBack"/>
      <w:bookmarkEnd w:id="0"/>
      <w:r w:rsidRPr="00D63D68">
        <w:rPr>
          <w:rFonts w:ascii="Times New Roman" w:hAnsi="Times New Roman"/>
          <w:b/>
          <w:sz w:val="24"/>
          <w:szCs w:val="24"/>
          <w:lang w:val="fr-FR"/>
        </w:rPr>
        <w:t>P</w:t>
      </w:r>
      <w:r w:rsidR="00D63D68" w:rsidRPr="00D63D68">
        <w:rPr>
          <w:rFonts w:ascii="Times New Roman" w:hAnsi="Times New Roman"/>
          <w:b/>
          <w:sz w:val="24"/>
          <w:szCs w:val="24"/>
          <w:lang w:val="fr-FR"/>
        </w:rPr>
        <w:t xml:space="preserve">rojet de loi </w:t>
      </w:r>
      <w:r w:rsidR="00D63D68" w:rsidRPr="00D63D68">
        <w:rPr>
          <w:rFonts w:ascii="Times New Roman" w:hAnsi="Times New Roman"/>
          <w:b/>
          <w:noProof/>
          <w:sz w:val="24"/>
          <w:szCs w:val="24"/>
          <w:lang w:val="fr-FR"/>
        </w:rPr>
        <w:t>6721</w:t>
      </w:r>
      <w:r w:rsidR="00D63D68" w:rsidRPr="00D63D6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81DF1" w:rsidRPr="00D63D68">
        <w:rPr>
          <w:rFonts w:ascii="Times New Roman" w:hAnsi="Times New Roman"/>
          <w:b/>
          <w:sz w:val="24"/>
          <w:szCs w:val="24"/>
          <w:lang w:val="fr-FR"/>
        </w:rPr>
        <w:t xml:space="preserve">relatif à la programmation financière pluriannuelle </w:t>
      </w:r>
      <w:r w:rsidRPr="00D63D68">
        <w:rPr>
          <w:rFonts w:ascii="Times New Roman" w:hAnsi="Times New Roman"/>
          <w:b/>
          <w:sz w:val="24"/>
          <w:szCs w:val="24"/>
          <w:lang w:val="fr-FR"/>
        </w:rPr>
        <w:t>pour l</w:t>
      </w:r>
      <w:r w:rsidR="00481DF1" w:rsidRPr="00D63D68">
        <w:rPr>
          <w:rFonts w:ascii="Times New Roman" w:hAnsi="Times New Roman"/>
          <w:b/>
          <w:sz w:val="24"/>
          <w:szCs w:val="24"/>
          <w:lang w:val="fr-FR"/>
        </w:rPr>
        <w:t>a période 2014 -</w:t>
      </w:r>
      <w:r w:rsidRPr="00D63D68">
        <w:rPr>
          <w:rFonts w:ascii="Times New Roman" w:hAnsi="Times New Roman"/>
          <w:b/>
          <w:sz w:val="24"/>
          <w:szCs w:val="24"/>
          <w:lang w:val="fr-FR"/>
        </w:rPr>
        <w:t xml:space="preserve"> 201</w:t>
      </w:r>
      <w:r w:rsidR="00481DF1" w:rsidRPr="00D63D68">
        <w:rPr>
          <w:rFonts w:ascii="Times New Roman" w:hAnsi="Times New Roman"/>
          <w:b/>
          <w:sz w:val="24"/>
          <w:szCs w:val="24"/>
          <w:lang w:val="fr-FR"/>
        </w:rPr>
        <w:t>8</w:t>
      </w:r>
    </w:p>
    <w:p w:rsidR="00F444EA" w:rsidRPr="00B81583" w:rsidRDefault="00F444EA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305647" w:rsidRDefault="00B81583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  <w:r w:rsidRPr="00B81583">
        <w:rPr>
          <w:rFonts w:ascii="Times New Roman" w:hAnsi="Times New Roman"/>
          <w:sz w:val="24"/>
          <w:szCs w:val="24"/>
          <w:lang w:val="fr-FR" w:eastAsia="en-GB"/>
        </w:rPr>
        <w:t xml:space="preserve">Depuis l’entrée en vigueur de la loi du 12 juillet 2014 relative à la coordination et à la gouvernance des finances publiques, </w:t>
      </w:r>
      <w:r>
        <w:rPr>
          <w:rFonts w:ascii="Times New Roman" w:hAnsi="Times New Roman"/>
          <w:sz w:val="24"/>
          <w:szCs w:val="24"/>
          <w:lang w:val="fr-FR" w:eastAsia="en-GB"/>
        </w:rPr>
        <w:t>l</w:t>
      </w:r>
      <w:r w:rsidRPr="00B81583">
        <w:rPr>
          <w:rFonts w:ascii="Times New Roman" w:hAnsi="Times New Roman"/>
          <w:sz w:val="24"/>
          <w:szCs w:val="24"/>
          <w:lang w:val="fr-FR" w:eastAsia="en-GB"/>
        </w:rPr>
        <w:t>es lois de programmation pluriannuelle font partie intégrante de notre cadre législatif dans le domaine des finances publiques.</w:t>
      </w:r>
    </w:p>
    <w:p w:rsidR="00305647" w:rsidRDefault="00305647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</w:p>
    <w:p w:rsidR="006A765D" w:rsidRPr="006A765D" w:rsidRDefault="00B81583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  <w:r w:rsidRPr="006A765D">
        <w:rPr>
          <w:rFonts w:ascii="Times New Roman" w:hAnsi="Times New Roman"/>
          <w:sz w:val="24"/>
          <w:szCs w:val="24"/>
          <w:lang w:val="fr-FR" w:eastAsia="en-GB"/>
        </w:rPr>
        <w:t>L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>es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 loi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>s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 de programmation </w:t>
      </w:r>
      <w:r w:rsidR="00305647" w:rsidRPr="006A765D">
        <w:rPr>
          <w:rFonts w:ascii="Times New Roman" w:hAnsi="Times New Roman"/>
          <w:sz w:val="24"/>
          <w:szCs w:val="24"/>
          <w:lang w:val="fr-FR" w:eastAsia="en-GB"/>
        </w:rPr>
        <w:t xml:space="preserve">pluriannuelle 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>ont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 pour finalité de définir les orientations financières pluriannuelles des trois secteurs de l’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dministration publique, à savoir l’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dministration centrale, les 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dministrations locales et les 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dmin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>istrations de sécurité sociale.</w:t>
      </w:r>
      <w:r w:rsidR="006A765D" w:rsidRPr="006A765D">
        <w:rPr>
          <w:rFonts w:ascii="Times New Roman" w:hAnsi="Times New Roman"/>
          <w:sz w:val="24"/>
          <w:szCs w:val="24"/>
          <w:lang w:val="fr-FR"/>
        </w:rPr>
        <w:t xml:space="preserve"> Elles couvrent une période mobile de cinq ans, en l’occurrence l’exercice budgétaire en cours et les quatre années subséquentes.</w:t>
      </w:r>
    </w:p>
    <w:p w:rsidR="006A765D" w:rsidRPr="006A765D" w:rsidRDefault="006A765D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</w:p>
    <w:p w:rsidR="00B81583" w:rsidRPr="006A765D" w:rsidRDefault="00305647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La mission principale 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 xml:space="preserve">de la loi de programmation 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consiste à arrêter l’objectif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 xml:space="preserve"> budgétaire à moyen terme de l’a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dministration publique (OMT) ainsi que la trajectoire d’ajustement qui permet sa réalisation. Cette nouvelle législation a également pour but de 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pré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senter l’évolution de la dette publique ainsi que la décomposition des solde</w:t>
      </w:r>
      <w:r w:rsidR="006A765D">
        <w:rPr>
          <w:rFonts w:ascii="Times New Roman" w:hAnsi="Times New Roman"/>
          <w:sz w:val="24"/>
          <w:szCs w:val="24"/>
          <w:lang w:val="fr-FR" w:eastAsia="en-GB"/>
        </w:rPr>
        <w:t>s annuels par sous-secteur des a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dministrations publiques.</w:t>
      </w:r>
    </w:p>
    <w:p w:rsidR="00305647" w:rsidRPr="006A765D" w:rsidRDefault="00305647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81583" w:rsidRPr="006A765D" w:rsidRDefault="00046DC7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Le programme pluriannuel permet non seulement de renforcer 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 xml:space="preserve">les engagements financiers que le Luxembourg a souscrits dans le contexte européen, 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 xml:space="preserve">mais il permet également de renforcer les débats autour de la fixation des objectifs de la politique budgétaire et de faciliter ainsi la préparation du prochain </w:t>
      </w:r>
      <w:r w:rsidR="006A765D" w:rsidRPr="006A765D">
        <w:rPr>
          <w:rFonts w:ascii="Times New Roman" w:hAnsi="Times New Roman"/>
          <w:sz w:val="24"/>
          <w:szCs w:val="24"/>
          <w:lang w:val="fr-FR" w:eastAsia="en-GB"/>
        </w:rPr>
        <w:t>p</w:t>
      </w:r>
      <w:r w:rsidRPr="006A765D">
        <w:rPr>
          <w:rFonts w:ascii="Times New Roman" w:hAnsi="Times New Roman"/>
          <w:sz w:val="24"/>
          <w:szCs w:val="24"/>
          <w:lang w:val="fr-FR" w:eastAsia="en-GB"/>
        </w:rPr>
        <w:t>rogramme de stabilité et de croissance.</w:t>
      </w:r>
    </w:p>
    <w:p w:rsidR="00046DC7" w:rsidRPr="006A765D" w:rsidRDefault="00046DC7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en-GB"/>
        </w:rPr>
      </w:pPr>
    </w:p>
    <w:p w:rsidR="00481DF1" w:rsidRPr="00F444EA" w:rsidRDefault="00623BD4" w:rsidP="004728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F444EA">
        <w:rPr>
          <w:rFonts w:ascii="Times New Roman" w:hAnsi="Times New Roman"/>
          <w:b/>
          <w:sz w:val="24"/>
          <w:szCs w:val="24"/>
          <w:u w:val="single"/>
          <w:lang w:val="fr-FR"/>
        </w:rPr>
        <w:t>L</w:t>
      </w:r>
      <w:r w:rsidR="00F444EA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a programmation financière pluriannuelle </w:t>
      </w:r>
      <w:r w:rsidR="00481DF1" w:rsidRPr="00F444EA">
        <w:rPr>
          <w:rFonts w:ascii="Times New Roman" w:hAnsi="Times New Roman"/>
          <w:b/>
          <w:sz w:val="24"/>
          <w:szCs w:val="24"/>
          <w:u w:val="single"/>
          <w:lang w:val="fr-FR"/>
        </w:rPr>
        <w:t>2014 – 2018</w:t>
      </w:r>
    </w:p>
    <w:p w:rsidR="00742E4C" w:rsidRPr="00F444EA" w:rsidRDefault="00742E4C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081A13" w:rsidP="004728F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</w:t>
      </w:r>
      <w:r w:rsidR="00A918E9" w:rsidRPr="00913EB0">
        <w:rPr>
          <w:rFonts w:ascii="Times New Roman" w:hAnsi="Times New Roman"/>
          <w:sz w:val="24"/>
          <w:szCs w:val="24"/>
          <w:lang w:val="fr-FR"/>
        </w:rPr>
        <w:t>ans le cadre de la 15</w:t>
      </w:r>
      <w:r w:rsidR="00A918E9" w:rsidRPr="00913EB0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A918E9" w:rsidRPr="00913EB0">
        <w:rPr>
          <w:rFonts w:ascii="Times New Roman" w:hAnsi="Times New Roman"/>
          <w:sz w:val="24"/>
          <w:szCs w:val="24"/>
          <w:lang w:val="fr-FR"/>
        </w:rPr>
        <w:t xml:space="preserve"> actualisation du Programme de stabilité et de croissance pour la période 2014-2018, le </w:t>
      </w:r>
      <w:r w:rsidR="00F209B1">
        <w:rPr>
          <w:rFonts w:ascii="Times New Roman" w:hAnsi="Times New Roman"/>
          <w:sz w:val="24"/>
          <w:szCs w:val="24"/>
          <w:lang w:val="fr-FR"/>
        </w:rPr>
        <w:t>Gouvernement</w:t>
      </w:r>
      <w:r w:rsidR="00A918E9" w:rsidRPr="00913EB0">
        <w:rPr>
          <w:rFonts w:ascii="Times New Roman" w:hAnsi="Times New Roman"/>
          <w:sz w:val="24"/>
          <w:szCs w:val="24"/>
          <w:lang w:val="fr-FR"/>
        </w:rPr>
        <w:t xml:space="preserve"> a arrêté la trajectoire d’ajustement qui devra permettre le retour à l’équilibre des finances publiques à l’horizon 2018. </w:t>
      </w:r>
    </w:p>
    <w:p w:rsidR="00A918E9" w:rsidRPr="00913EB0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4728F7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</w:t>
      </w:r>
      <w:r w:rsidR="00A918E9" w:rsidRPr="00913EB0">
        <w:rPr>
          <w:rFonts w:ascii="Times New Roman" w:hAnsi="Times New Roman"/>
          <w:sz w:val="24"/>
          <w:szCs w:val="24"/>
          <w:lang w:val="fr-FR"/>
        </w:rPr>
        <w:t>a trajectoire d’ajustement telle qu’elle a été arrêtée dans le PSC 2014, se présente comme suit :</w:t>
      </w: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13EB0">
        <w:rPr>
          <w:rFonts w:ascii="Times New Roman" w:hAnsi="Times New Roman"/>
          <w:sz w:val="24"/>
          <w:szCs w:val="24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13.25pt">
            <v:imagedata r:id="rId8" o:title=""/>
          </v:shape>
        </w:pict>
      </w: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913EB0">
        <w:rPr>
          <w:rFonts w:ascii="Times New Roman" w:hAnsi="Times New Roman"/>
          <w:i/>
          <w:sz w:val="20"/>
          <w:szCs w:val="20"/>
          <w:lang w:val="fr-FR"/>
        </w:rPr>
        <w:t>Source : 15</w:t>
      </w:r>
      <w:r w:rsidRPr="00913EB0">
        <w:rPr>
          <w:rFonts w:ascii="Times New Roman" w:hAnsi="Times New Roman"/>
          <w:i/>
          <w:sz w:val="20"/>
          <w:szCs w:val="20"/>
          <w:vertAlign w:val="superscript"/>
          <w:lang w:val="fr-FR"/>
        </w:rPr>
        <w:t>e</w:t>
      </w:r>
      <w:r w:rsidRPr="00913EB0">
        <w:rPr>
          <w:rFonts w:ascii="Times New Roman" w:hAnsi="Times New Roman"/>
          <w:i/>
          <w:sz w:val="20"/>
          <w:szCs w:val="20"/>
          <w:lang w:val="fr-FR"/>
        </w:rPr>
        <w:t xml:space="preserve"> actualisation du Programme de stabilité et de croissance 2014-2018, p.22.</w:t>
      </w: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A918E9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13EB0">
        <w:rPr>
          <w:rFonts w:ascii="Times New Roman" w:hAnsi="Times New Roman"/>
          <w:sz w:val="24"/>
          <w:szCs w:val="24"/>
          <w:lang w:val="fr-FR"/>
        </w:rPr>
        <w:t>Il s’ensuit que le déficit de l’Administration centrale serait progressivement résorbé jusqu’en l’an 2018, alors que l’Administration publique dans son ensemble serait largement excédentaire (+1,6% du PIB), et ce grâce au solde positif de la Sécurité sociale (+1,4%) et, dans une moindre mesure, des Administrations locales. Le solde structurel quant à lui serait en conformité avec l’objectif à moyen terme, à l’exception de l’exercice 2015, où il ne serait que de 0,2% du PIB.</w:t>
      </w:r>
    </w:p>
    <w:p w:rsidR="00A918E9" w:rsidRPr="00913EB0" w:rsidRDefault="00A918E9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A918E9" w:rsidP="0047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13EB0">
        <w:rPr>
          <w:rFonts w:ascii="Times New Roman" w:hAnsi="Times New Roman"/>
          <w:sz w:val="24"/>
          <w:szCs w:val="24"/>
          <w:lang w:val="fr-FR"/>
        </w:rPr>
        <w:t xml:space="preserve">Suite à la mise au point du paquet de mesures destiné à redresser les comptes publics, la trajectoire d’ajustement telle qu’elle est renseignée dans le projet de loi </w:t>
      </w:r>
      <w:r w:rsidR="004728F7">
        <w:rPr>
          <w:rFonts w:ascii="Times New Roman" w:hAnsi="Times New Roman"/>
          <w:sz w:val="24"/>
          <w:szCs w:val="24"/>
          <w:lang w:val="fr-FR"/>
        </w:rPr>
        <w:t>initial</w:t>
      </w:r>
      <w:r w:rsidR="00081A1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13EB0">
        <w:rPr>
          <w:rFonts w:ascii="Times New Roman" w:hAnsi="Times New Roman"/>
          <w:sz w:val="24"/>
          <w:szCs w:val="24"/>
          <w:lang w:val="fr-FR"/>
        </w:rPr>
        <w:t>se présente comme suit :</w:t>
      </w:r>
    </w:p>
    <w:p w:rsidR="00A918E9" w:rsidRPr="00913EB0" w:rsidRDefault="00A918E9" w:rsidP="0047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13EB0">
        <w:rPr>
          <w:rFonts w:ascii="Times New Roman" w:hAnsi="Times New Roman"/>
          <w:sz w:val="24"/>
          <w:szCs w:val="24"/>
          <w:lang w:val="fr-FR"/>
        </w:rPr>
        <w:pict>
          <v:shape id="_x0000_i1026" type="#_x0000_t75" style="width:450.75pt;height:210pt">
            <v:imagedata r:id="rId9" o:title=""/>
          </v:shape>
        </w:pict>
      </w: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913EB0">
        <w:rPr>
          <w:rFonts w:ascii="Times New Roman" w:hAnsi="Times New Roman"/>
          <w:i/>
          <w:sz w:val="20"/>
          <w:szCs w:val="20"/>
          <w:lang w:val="fr-FR"/>
        </w:rPr>
        <w:t>Source : Projet de loi concernant le budget des recettes et des dépenses de l’Etat pour l’exercice 2015, p.20*.</w:t>
      </w: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Pr="00913EB0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Compte tenu des amendements adoptés par la COFIBU, la trajectoire d’ajustement se présente désormais comme suit :</w:t>
      </w:r>
    </w:p>
    <w:p w:rsidR="00A918E9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E2091">
        <w:rPr>
          <w:rFonts w:ascii="Times New Roman" w:hAnsi="Times New Roman"/>
          <w:sz w:val="24"/>
          <w:szCs w:val="24"/>
          <w:lang w:val="fr-FR"/>
        </w:rPr>
        <w:pict>
          <v:shape id="_x0000_i1027" type="#_x0000_t75" style="width:453pt;height:105.75pt">
            <v:imagedata r:id="rId10" o:title=""/>
          </v:shape>
        </w:pict>
      </w:r>
    </w:p>
    <w:p w:rsidR="00A918E9" w:rsidRPr="0067023A" w:rsidRDefault="00A918E9" w:rsidP="004728F7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67023A">
        <w:rPr>
          <w:rFonts w:ascii="Times New Roman" w:hAnsi="Times New Roman"/>
          <w:i/>
          <w:sz w:val="20"/>
          <w:szCs w:val="20"/>
          <w:lang w:val="fr-FR"/>
        </w:rPr>
        <w:t>Source : Amendements adoptés par la COFIBU en date du 3 décembre 2014 (doc. parl. 6721-7).</w:t>
      </w:r>
    </w:p>
    <w:p w:rsidR="00A918E9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s’ensuit que les soldes nominaux de l’Administration centrale et de l’Administration publique sont corrigés de -0,1% sur toute la période de prévision, à l’instar du solde structurel qui reste néanmoins proche de l’objectif à moyen terme fixé à +0,5% du PIB.</w:t>
      </w:r>
    </w:p>
    <w:p w:rsidR="00A918E9" w:rsidRPr="00913EB0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918E9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Etabli selon les règles de la comptabilité nationale telles que définies par la loi modifiée du 8 juin 1999 sur le budget, la comptabilité et la trésorerie de l’Etat, le budget pluriannuel 2014-2018 amendé de l’Etat central se présente comme suit :</w:t>
      </w:r>
    </w:p>
    <w:p w:rsidR="004B6AB9" w:rsidRDefault="004B6AB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BC04D6" w:rsidRPr="00BC04D6" w:rsidRDefault="00BC04D6" w:rsidP="004728F7">
      <w:pPr>
        <w:keepNext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fr-FR"/>
        </w:rPr>
      </w:pPr>
      <w:r w:rsidRPr="00BC04D6">
        <w:rPr>
          <w:rFonts w:ascii="Times New Roman" w:hAnsi="Times New Roman"/>
          <w:i/>
          <w:sz w:val="20"/>
          <w:szCs w:val="20"/>
          <w:lang w:val="fr-FR"/>
        </w:rPr>
        <w:t>(en millions d’euros)</w:t>
      </w:r>
    </w:p>
    <w:p w:rsidR="00A918E9" w:rsidRPr="004422D1" w:rsidRDefault="00BC04D6" w:rsidP="004728F7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BC04D6">
        <w:rPr>
          <w:rFonts w:ascii="Times New Roman" w:hAnsi="Times New Roman"/>
          <w:sz w:val="24"/>
          <w:szCs w:val="24"/>
        </w:rPr>
        <w:pict>
          <v:shape id="_x0000_i1028" type="#_x0000_t75" style="width:453pt;height:211.5pt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918E9" w:rsidRPr="004422D1" w:rsidRDefault="00A918E9" w:rsidP="004728F7">
      <w:pPr>
        <w:keepNext/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4422D1">
        <w:rPr>
          <w:rFonts w:ascii="Times New Roman" w:hAnsi="Times New Roman"/>
          <w:i/>
          <w:sz w:val="20"/>
          <w:szCs w:val="20"/>
          <w:lang w:val="fr-FR"/>
        </w:rPr>
        <w:t xml:space="preserve">Source : Amendement </w:t>
      </w:r>
      <w:r w:rsidR="00BC04D6">
        <w:rPr>
          <w:rFonts w:ascii="Times New Roman" w:hAnsi="Times New Roman"/>
          <w:i/>
          <w:sz w:val="20"/>
          <w:szCs w:val="20"/>
          <w:lang w:val="fr-FR"/>
        </w:rPr>
        <w:t>gouvernemental du 8</w:t>
      </w:r>
      <w:r w:rsidRPr="004422D1">
        <w:rPr>
          <w:rFonts w:ascii="Times New Roman" w:hAnsi="Times New Roman"/>
          <w:i/>
          <w:sz w:val="20"/>
          <w:szCs w:val="20"/>
          <w:lang w:val="fr-FR"/>
        </w:rPr>
        <w:t xml:space="preserve"> décembre 2014 (doc. parl. 6721-</w:t>
      </w:r>
      <w:r w:rsidR="00BC04D6">
        <w:rPr>
          <w:rFonts w:ascii="Times New Roman" w:hAnsi="Times New Roman"/>
          <w:i/>
          <w:sz w:val="20"/>
          <w:szCs w:val="20"/>
          <w:lang w:val="fr-FR"/>
        </w:rPr>
        <w:t>8</w:t>
      </w:r>
      <w:r w:rsidRPr="004422D1">
        <w:rPr>
          <w:rFonts w:ascii="Times New Roman" w:hAnsi="Times New Roman"/>
          <w:i/>
          <w:sz w:val="20"/>
          <w:szCs w:val="20"/>
          <w:lang w:val="fr-FR"/>
        </w:rPr>
        <w:t>).</w:t>
      </w:r>
    </w:p>
    <w:p w:rsidR="00A918E9" w:rsidRDefault="00A918E9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918E9" w:rsidRDefault="00A918E9" w:rsidP="00472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ressort du tableau ci-dessus que tant les recettes que les dépenses de l’Etat central continueront à croître à un rythme dynamique au cours des prochaines années. Ainsi, la croissance des recettes totales sur la période 2014-2018 est de +19,9%, soit de 4,6% en moyenne annuelle. Il en est de même pour les dépenses, qui conn</w:t>
      </w:r>
      <w:r w:rsidR="00BC04D6">
        <w:rPr>
          <w:rFonts w:ascii="Times New Roman" w:hAnsi="Times New Roman"/>
          <w:sz w:val="24"/>
          <w:szCs w:val="24"/>
          <w:lang w:val="fr-FR"/>
        </w:rPr>
        <w:t>aîtront une augmentation de 18,7</w:t>
      </w:r>
      <w:r>
        <w:rPr>
          <w:rFonts w:ascii="Times New Roman" w:hAnsi="Times New Roman"/>
          <w:sz w:val="24"/>
          <w:szCs w:val="24"/>
          <w:lang w:val="fr-FR"/>
        </w:rPr>
        <w:t>% sur la période sous revue, ce qui correspond à une croissance moyenne de 4,4% par an.</w:t>
      </w:r>
    </w:p>
    <w:p w:rsidR="004870E0" w:rsidRPr="002C4CF3" w:rsidRDefault="004870E0" w:rsidP="004728F7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sectPr w:rsidR="004870E0" w:rsidRPr="002C4CF3" w:rsidSect="00A918E9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35" w:rsidRDefault="00AE0535" w:rsidP="009053FC">
      <w:pPr>
        <w:spacing w:after="0" w:line="240" w:lineRule="auto"/>
      </w:pPr>
      <w:r>
        <w:separator/>
      </w:r>
    </w:p>
  </w:endnote>
  <w:endnote w:type="continuationSeparator" w:id="0">
    <w:p w:rsidR="00AE0535" w:rsidRDefault="00AE0535" w:rsidP="0090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0C" w:rsidRDefault="00526A0C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090">
      <w:rPr>
        <w:noProof/>
      </w:rPr>
      <w:t>1</w:t>
    </w:r>
    <w:r>
      <w:fldChar w:fldCharType="end"/>
    </w:r>
  </w:p>
  <w:p w:rsidR="00526A0C" w:rsidRDefault="00526A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35" w:rsidRDefault="00AE0535" w:rsidP="009053FC">
      <w:pPr>
        <w:spacing w:after="0" w:line="240" w:lineRule="auto"/>
      </w:pPr>
      <w:r>
        <w:separator/>
      </w:r>
    </w:p>
  </w:footnote>
  <w:footnote w:type="continuationSeparator" w:id="0">
    <w:p w:rsidR="00AE0535" w:rsidRDefault="00AE0535" w:rsidP="0090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E69"/>
    <w:multiLevelType w:val="hybridMultilevel"/>
    <w:tmpl w:val="DB50384A"/>
    <w:lvl w:ilvl="0" w:tplc="85EE5BCA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5D1"/>
    <w:multiLevelType w:val="hybridMultilevel"/>
    <w:tmpl w:val="8B0E4302"/>
    <w:lvl w:ilvl="0" w:tplc="76506C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4B04"/>
    <w:multiLevelType w:val="hybridMultilevel"/>
    <w:tmpl w:val="39584480"/>
    <w:lvl w:ilvl="0" w:tplc="48BA74B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4E08"/>
    <w:multiLevelType w:val="hybridMultilevel"/>
    <w:tmpl w:val="26EA3ED4"/>
    <w:lvl w:ilvl="0" w:tplc="AAE463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C69"/>
    <w:multiLevelType w:val="hybridMultilevel"/>
    <w:tmpl w:val="973EA34A"/>
    <w:lvl w:ilvl="0" w:tplc="76506C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1405E"/>
    <w:multiLevelType w:val="hybridMultilevel"/>
    <w:tmpl w:val="716EE42C"/>
    <w:lvl w:ilvl="0" w:tplc="708E8BB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D4"/>
    <w:rsid w:val="00005366"/>
    <w:rsid w:val="00016154"/>
    <w:rsid w:val="00024AAB"/>
    <w:rsid w:val="00031CDC"/>
    <w:rsid w:val="00033390"/>
    <w:rsid w:val="000358FE"/>
    <w:rsid w:val="00037116"/>
    <w:rsid w:val="0004120A"/>
    <w:rsid w:val="00044467"/>
    <w:rsid w:val="00046DC7"/>
    <w:rsid w:val="0005320C"/>
    <w:rsid w:val="00060730"/>
    <w:rsid w:val="00063B23"/>
    <w:rsid w:val="00066893"/>
    <w:rsid w:val="000818BB"/>
    <w:rsid w:val="00081A13"/>
    <w:rsid w:val="000A1026"/>
    <w:rsid w:val="000A5B63"/>
    <w:rsid w:val="000A7301"/>
    <w:rsid w:val="000B40C9"/>
    <w:rsid w:val="000C4CEC"/>
    <w:rsid w:val="000D1F0F"/>
    <w:rsid w:val="000E1A4A"/>
    <w:rsid w:val="000E72AE"/>
    <w:rsid w:val="000F06FC"/>
    <w:rsid w:val="000F3A10"/>
    <w:rsid w:val="00101F66"/>
    <w:rsid w:val="00124703"/>
    <w:rsid w:val="00126496"/>
    <w:rsid w:val="0013550E"/>
    <w:rsid w:val="00157090"/>
    <w:rsid w:val="00161CB2"/>
    <w:rsid w:val="00171917"/>
    <w:rsid w:val="00183351"/>
    <w:rsid w:val="0018649F"/>
    <w:rsid w:val="00192149"/>
    <w:rsid w:val="00192539"/>
    <w:rsid w:val="00195F23"/>
    <w:rsid w:val="001A7B96"/>
    <w:rsid w:val="001B32FD"/>
    <w:rsid w:val="001B3FA5"/>
    <w:rsid w:val="001C1011"/>
    <w:rsid w:val="001D2AE6"/>
    <w:rsid w:val="001D3594"/>
    <w:rsid w:val="001D6E08"/>
    <w:rsid w:val="001F472D"/>
    <w:rsid w:val="00205210"/>
    <w:rsid w:val="002177BA"/>
    <w:rsid w:val="002233F6"/>
    <w:rsid w:val="00223F79"/>
    <w:rsid w:val="00224269"/>
    <w:rsid w:val="00232F30"/>
    <w:rsid w:val="00241FDF"/>
    <w:rsid w:val="0024291C"/>
    <w:rsid w:val="002457DA"/>
    <w:rsid w:val="0024684B"/>
    <w:rsid w:val="002472D7"/>
    <w:rsid w:val="00270601"/>
    <w:rsid w:val="00275F31"/>
    <w:rsid w:val="00276784"/>
    <w:rsid w:val="00277438"/>
    <w:rsid w:val="00283200"/>
    <w:rsid w:val="00286B76"/>
    <w:rsid w:val="00290733"/>
    <w:rsid w:val="00290937"/>
    <w:rsid w:val="00294899"/>
    <w:rsid w:val="0029625D"/>
    <w:rsid w:val="002B63D0"/>
    <w:rsid w:val="002C05B9"/>
    <w:rsid w:val="002C4CF3"/>
    <w:rsid w:val="002C5FE8"/>
    <w:rsid w:val="002C6B49"/>
    <w:rsid w:val="002D7355"/>
    <w:rsid w:val="002D7BB2"/>
    <w:rsid w:val="002E0BA9"/>
    <w:rsid w:val="002E68C2"/>
    <w:rsid w:val="002F49CA"/>
    <w:rsid w:val="002F6AE0"/>
    <w:rsid w:val="003051FB"/>
    <w:rsid w:val="00305647"/>
    <w:rsid w:val="003107E6"/>
    <w:rsid w:val="00311948"/>
    <w:rsid w:val="0032089C"/>
    <w:rsid w:val="00326BB4"/>
    <w:rsid w:val="00330261"/>
    <w:rsid w:val="00331902"/>
    <w:rsid w:val="0033206A"/>
    <w:rsid w:val="003354BF"/>
    <w:rsid w:val="003368F8"/>
    <w:rsid w:val="003444FD"/>
    <w:rsid w:val="00350198"/>
    <w:rsid w:val="003518AD"/>
    <w:rsid w:val="003667EC"/>
    <w:rsid w:val="00376840"/>
    <w:rsid w:val="0038746B"/>
    <w:rsid w:val="0039363C"/>
    <w:rsid w:val="00393E9D"/>
    <w:rsid w:val="00395274"/>
    <w:rsid w:val="003A4F3E"/>
    <w:rsid w:val="003B421F"/>
    <w:rsid w:val="003C185B"/>
    <w:rsid w:val="003D3FF6"/>
    <w:rsid w:val="003D5904"/>
    <w:rsid w:val="003E0E5D"/>
    <w:rsid w:val="003E1EC9"/>
    <w:rsid w:val="003E7739"/>
    <w:rsid w:val="00424F69"/>
    <w:rsid w:val="00433838"/>
    <w:rsid w:val="0043485E"/>
    <w:rsid w:val="00437094"/>
    <w:rsid w:val="00437716"/>
    <w:rsid w:val="00437C59"/>
    <w:rsid w:val="00440C70"/>
    <w:rsid w:val="004428C7"/>
    <w:rsid w:val="00446B11"/>
    <w:rsid w:val="00451C8A"/>
    <w:rsid w:val="004728F7"/>
    <w:rsid w:val="00481DF1"/>
    <w:rsid w:val="004845CF"/>
    <w:rsid w:val="004870E0"/>
    <w:rsid w:val="00493FCB"/>
    <w:rsid w:val="00494A59"/>
    <w:rsid w:val="004A2030"/>
    <w:rsid w:val="004B5B6A"/>
    <w:rsid w:val="004B6AB9"/>
    <w:rsid w:val="004D194F"/>
    <w:rsid w:val="004D2E21"/>
    <w:rsid w:val="004D4DD5"/>
    <w:rsid w:val="004D4FD6"/>
    <w:rsid w:val="004D5AAF"/>
    <w:rsid w:val="004D7F82"/>
    <w:rsid w:val="004F03F9"/>
    <w:rsid w:val="004F27BC"/>
    <w:rsid w:val="004F2934"/>
    <w:rsid w:val="004F63FF"/>
    <w:rsid w:val="005158C9"/>
    <w:rsid w:val="00517CB4"/>
    <w:rsid w:val="00521EF7"/>
    <w:rsid w:val="00522B3F"/>
    <w:rsid w:val="00524855"/>
    <w:rsid w:val="00526A0C"/>
    <w:rsid w:val="00527D4E"/>
    <w:rsid w:val="00536015"/>
    <w:rsid w:val="00545314"/>
    <w:rsid w:val="0054780B"/>
    <w:rsid w:val="00556850"/>
    <w:rsid w:val="005814F4"/>
    <w:rsid w:val="005C2D12"/>
    <w:rsid w:val="005D1DD2"/>
    <w:rsid w:val="005F4DE9"/>
    <w:rsid w:val="005F588B"/>
    <w:rsid w:val="005F706C"/>
    <w:rsid w:val="00606925"/>
    <w:rsid w:val="006208EE"/>
    <w:rsid w:val="00623BD4"/>
    <w:rsid w:val="00633735"/>
    <w:rsid w:val="006345EB"/>
    <w:rsid w:val="0064270C"/>
    <w:rsid w:val="0065192C"/>
    <w:rsid w:val="0065367C"/>
    <w:rsid w:val="0065385E"/>
    <w:rsid w:val="00654CB4"/>
    <w:rsid w:val="00663BBA"/>
    <w:rsid w:val="00670D8C"/>
    <w:rsid w:val="00682325"/>
    <w:rsid w:val="00682418"/>
    <w:rsid w:val="006876BC"/>
    <w:rsid w:val="006904CA"/>
    <w:rsid w:val="00690C46"/>
    <w:rsid w:val="00694691"/>
    <w:rsid w:val="00695A6A"/>
    <w:rsid w:val="006A2FA4"/>
    <w:rsid w:val="006A765D"/>
    <w:rsid w:val="006B1E64"/>
    <w:rsid w:val="006B5706"/>
    <w:rsid w:val="006C7624"/>
    <w:rsid w:val="006E07BD"/>
    <w:rsid w:val="006E39E7"/>
    <w:rsid w:val="006F1A28"/>
    <w:rsid w:val="006F63AF"/>
    <w:rsid w:val="007003A0"/>
    <w:rsid w:val="0070392B"/>
    <w:rsid w:val="00705E3B"/>
    <w:rsid w:val="00713414"/>
    <w:rsid w:val="007166A3"/>
    <w:rsid w:val="00721B39"/>
    <w:rsid w:val="00722DCC"/>
    <w:rsid w:val="00726BC6"/>
    <w:rsid w:val="00726EB7"/>
    <w:rsid w:val="00735F2D"/>
    <w:rsid w:val="00740581"/>
    <w:rsid w:val="007422BE"/>
    <w:rsid w:val="00742E4C"/>
    <w:rsid w:val="00750BEF"/>
    <w:rsid w:val="00756058"/>
    <w:rsid w:val="00766397"/>
    <w:rsid w:val="00771BAD"/>
    <w:rsid w:val="007750A8"/>
    <w:rsid w:val="00776E88"/>
    <w:rsid w:val="007811AE"/>
    <w:rsid w:val="00784F98"/>
    <w:rsid w:val="007854DF"/>
    <w:rsid w:val="00785A43"/>
    <w:rsid w:val="00794387"/>
    <w:rsid w:val="00797C2D"/>
    <w:rsid w:val="007A0D3B"/>
    <w:rsid w:val="007A1115"/>
    <w:rsid w:val="007A5A6C"/>
    <w:rsid w:val="007A6E7C"/>
    <w:rsid w:val="007A770B"/>
    <w:rsid w:val="007C1ED5"/>
    <w:rsid w:val="007E25B2"/>
    <w:rsid w:val="007E7269"/>
    <w:rsid w:val="007F4F4D"/>
    <w:rsid w:val="007F5AD6"/>
    <w:rsid w:val="007F5E3D"/>
    <w:rsid w:val="008033C7"/>
    <w:rsid w:val="00811BBA"/>
    <w:rsid w:val="00817F39"/>
    <w:rsid w:val="008265A7"/>
    <w:rsid w:val="00835B81"/>
    <w:rsid w:val="00840AE8"/>
    <w:rsid w:val="00846F58"/>
    <w:rsid w:val="008518EB"/>
    <w:rsid w:val="008520ED"/>
    <w:rsid w:val="0086784D"/>
    <w:rsid w:val="0087336A"/>
    <w:rsid w:val="00874299"/>
    <w:rsid w:val="008772AE"/>
    <w:rsid w:val="008835C0"/>
    <w:rsid w:val="0088558B"/>
    <w:rsid w:val="0089734F"/>
    <w:rsid w:val="008A06B0"/>
    <w:rsid w:val="008A36F2"/>
    <w:rsid w:val="008A50E9"/>
    <w:rsid w:val="008B0B51"/>
    <w:rsid w:val="008C4695"/>
    <w:rsid w:val="008C5483"/>
    <w:rsid w:val="008D01D4"/>
    <w:rsid w:val="008D29B7"/>
    <w:rsid w:val="008E0D87"/>
    <w:rsid w:val="008E2587"/>
    <w:rsid w:val="008E74C5"/>
    <w:rsid w:val="008E7533"/>
    <w:rsid w:val="008F08BB"/>
    <w:rsid w:val="008F0D12"/>
    <w:rsid w:val="008F4B08"/>
    <w:rsid w:val="008F4D00"/>
    <w:rsid w:val="008F78F3"/>
    <w:rsid w:val="0090001D"/>
    <w:rsid w:val="00903F7B"/>
    <w:rsid w:val="009040A6"/>
    <w:rsid w:val="009053FC"/>
    <w:rsid w:val="00907BC2"/>
    <w:rsid w:val="00907C4A"/>
    <w:rsid w:val="00910B05"/>
    <w:rsid w:val="009155FC"/>
    <w:rsid w:val="00915AB6"/>
    <w:rsid w:val="00926CB4"/>
    <w:rsid w:val="00930778"/>
    <w:rsid w:val="0093126D"/>
    <w:rsid w:val="0094063C"/>
    <w:rsid w:val="00941504"/>
    <w:rsid w:val="00941FB7"/>
    <w:rsid w:val="009565DC"/>
    <w:rsid w:val="00963515"/>
    <w:rsid w:val="009A28CE"/>
    <w:rsid w:val="009A7E73"/>
    <w:rsid w:val="009B4D11"/>
    <w:rsid w:val="009C5913"/>
    <w:rsid w:val="009C65E3"/>
    <w:rsid w:val="009D5263"/>
    <w:rsid w:val="009D740F"/>
    <w:rsid w:val="009E0EDE"/>
    <w:rsid w:val="009E15C9"/>
    <w:rsid w:val="009E462F"/>
    <w:rsid w:val="009E49E3"/>
    <w:rsid w:val="009F10B7"/>
    <w:rsid w:val="009F1EC2"/>
    <w:rsid w:val="009F39EA"/>
    <w:rsid w:val="009F7F5F"/>
    <w:rsid w:val="00A00A08"/>
    <w:rsid w:val="00A13AB5"/>
    <w:rsid w:val="00A158D9"/>
    <w:rsid w:val="00A21132"/>
    <w:rsid w:val="00A26795"/>
    <w:rsid w:val="00A3233A"/>
    <w:rsid w:val="00A41071"/>
    <w:rsid w:val="00A51224"/>
    <w:rsid w:val="00A53FB0"/>
    <w:rsid w:val="00A54A4A"/>
    <w:rsid w:val="00A630C0"/>
    <w:rsid w:val="00A64393"/>
    <w:rsid w:val="00A646AF"/>
    <w:rsid w:val="00A66B53"/>
    <w:rsid w:val="00A758DE"/>
    <w:rsid w:val="00A80383"/>
    <w:rsid w:val="00A80BAA"/>
    <w:rsid w:val="00A829B5"/>
    <w:rsid w:val="00A918E9"/>
    <w:rsid w:val="00A91E6E"/>
    <w:rsid w:val="00AA2E5E"/>
    <w:rsid w:val="00AB0772"/>
    <w:rsid w:val="00AB0921"/>
    <w:rsid w:val="00AB3B51"/>
    <w:rsid w:val="00AB718A"/>
    <w:rsid w:val="00AC6F58"/>
    <w:rsid w:val="00AC6FA5"/>
    <w:rsid w:val="00AC7400"/>
    <w:rsid w:val="00AD2931"/>
    <w:rsid w:val="00AE0535"/>
    <w:rsid w:val="00AE5C0E"/>
    <w:rsid w:val="00AF3933"/>
    <w:rsid w:val="00AF3A34"/>
    <w:rsid w:val="00AF5764"/>
    <w:rsid w:val="00AF58D4"/>
    <w:rsid w:val="00AF5EB9"/>
    <w:rsid w:val="00B15076"/>
    <w:rsid w:val="00B15175"/>
    <w:rsid w:val="00B22FA8"/>
    <w:rsid w:val="00B257C6"/>
    <w:rsid w:val="00B53E3B"/>
    <w:rsid w:val="00B57457"/>
    <w:rsid w:val="00B57F09"/>
    <w:rsid w:val="00B622B4"/>
    <w:rsid w:val="00B74148"/>
    <w:rsid w:val="00B81583"/>
    <w:rsid w:val="00B9089E"/>
    <w:rsid w:val="00B90BDA"/>
    <w:rsid w:val="00B9484F"/>
    <w:rsid w:val="00B94CD1"/>
    <w:rsid w:val="00B971DD"/>
    <w:rsid w:val="00BA25D0"/>
    <w:rsid w:val="00BA2E0E"/>
    <w:rsid w:val="00BA684E"/>
    <w:rsid w:val="00BA745A"/>
    <w:rsid w:val="00BB0587"/>
    <w:rsid w:val="00BB145C"/>
    <w:rsid w:val="00BB5C72"/>
    <w:rsid w:val="00BC04D6"/>
    <w:rsid w:val="00BD37B5"/>
    <w:rsid w:val="00BE14E0"/>
    <w:rsid w:val="00BE4401"/>
    <w:rsid w:val="00BE7890"/>
    <w:rsid w:val="00C016A1"/>
    <w:rsid w:val="00C0246A"/>
    <w:rsid w:val="00C22DE3"/>
    <w:rsid w:val="00C311DB"/>
    <w:rsid w:val="00C333EE"/>
    <w:rsid w:val="00C34624"/>
    <w:rsid w:val="00C42252"/>
    <w:rsid w:val="00C423C8"/>
    <w:rsid w:val="00C453FD"/>
    <w:rsid w:val="00C45B23"/>
    <w:rsid w:val="00C47C02"/>
    <w:rsid w:val="00C502AA"/>
    <w:rsid w:val="00C53D9D"/>
    <w:rsid w:val="00C6002D"/>
    <w:rsid w:val="00C627B9"/>
    <w:rsid w:val="00C642AD"/>
    <w:rsid w:val="00C64A45"/>
    <w:rsid w:val="00C64F2D"/>
    <w:rsid w:val="00C72C29"/>
    <w:rsid w:val="00C74560"/>
    <w:rsid w:val="00C82AA1"/>
    <w:rsid w:val="00C83B09"/>
    <w:rsid w:val="00C919B5"/>
    <w:rsid w:val="00C92226"/>
    <w:rsid w:val="00C9530F"/>
    <w:rsid w:val="00CA090D"/>
    <w:rsid w:val="00CA1245"/>
    <w:rsid w:val="00CB20A8"/>
    <w:rsid w:val="00CB79D7"/>
    <w:rsid w:val="00CB7F16"/>
    <w:rsid w:val="00CD2266"/>
    <w:rsid w:val="00CE1332"/>
    <w:rsid w:val="00CE2644"/>
    <w:rsid w:val="00CF099A"/>
    <w:rsid w:val="00CF14C0"/>
    <w:rsid w:val="00D013AF"/>
    <w:rsid w:val="00D019F8"/>
    <w:rsid w:val="00D067DF"/>
    <w:rsid w:val="00D142EB"/>
    <w:rsid w:val="00D1514C"/>
    <w:rsid w:val="00D23B24"/>
    <w:rsid w:val="00D265EE"/>
    <w:rsid w:val="00D27E8E"/>
    <w:rsid w:val="00D34B38"/>
    <w:rsid w:val="00D42943"/>
    <w:rsid w:val="00D55B39"/>
    <w:rsid w:val="00D5792C"/>
    <w:rsid w:val="00D600C7"/>
    <w:rsid w:val="00D63D68"/>
    <w:rsid w:val="00D64E30"/>
    <w:rsid w:val="00D74507"/>
    <w:rsid w:val="00D777B9"/>
    <w:rsid w:val="00D93C9F"/>
    <w:rsid w:val="00DB0070"/>
    <w:rsid w:val="00DB75E6"/>
    <w:rsid w:val="00DD320F"/>
    <w:rsid w:val="00E01259"/>
    <w:rsid w:val="00E30370"/>
    <w:rsid w:val="00E3443F"/>
    <w:rsid w:val="00E34856"/>
    <w:rsid w:val="00E361F7"/>
    <w:rsid w:val="00E416B3"/>
    <w:rsid w:val="00E445D4"/>
    <w:rsid w:val="00E56C84"/>
    <w:rsid w:val="00E57209"/>
    <w:rsid w:val="00E662AA"/>
    <w:rsid w:val="00E713FD"/>
    <w:rsid w:val="00E7481F"/>
    <w:rsid w:val="00E90A09"/>
    <w:rsid w:val="00E93870"/>
    <w:rsid w:val="00EA44D3"/>
    <w:rsid w:val="00EA5931"/>
    <w:rsid w:val="00EB3229"/>
    <w:rsid w:val="00EC1278"/>
    <w:rsid w:val="00EC12A1"/>
    <w:rsid w:val="00ED386A"/>
    <w:rsid w:val="00ED702D"/>
    <w:rsid w:val="00ED75E7"/>
    <w:rsid w:val="00EE0FE0"/>
    <w:rsid w:val="00EE7FE9"/>
    <w:rsid w:val="00EF08A3"/>
    <w:rsid w:val="00EF0A51"/>
    <w:rsid w:val="00EF2499"/>
    <w:rsid w:val="00EF3C53"/>
    <w:rsid w:val="00EF51B3"/>
    <w:rsid w:val="00F03BCD"/>
    <w:rsid w:val="00F209B1"/>
    <w:rsid w:val="00F444EA"/>
    <w:rsid w:val="00F45858"/>
    <w:rsid w:val="00F558A2"/>
    <w:rsid w:val="00F55C51"/>
    <w:rsid w:val="00F5614C"/>
    <w:rsid w:val="00F57D6C"/>
    <w:rsid w:val="00F64B93"/>
    <w:rsid w:val="00F71E2F"/>
    <w:rsid w:val="00F73C7D"/>
    <w:rsid w:val="00F7481D"/>
    <w:rsid w:val="00F77859"/>
    <w:rsid w:val="00F77F20"/>
    <w:rsid w:val="00F81934"/>
    <w:rsid w:val="00F83657"/>
    <w:rsid w:val="00F93A8C"/>
    <w:rsid w:val="00F9516A"/>
    <w:rsid w:val="00F954FA"/>
    <w:rsid w:val="00FA0313"/>
    <w:rsid w:val="00FA150C"/>
    <w:rsid w:val="00FA1CC8"/>
    <w:rsid w:val="00FA1E1C"/>
    <w:rsid w:val="00FB5C45"/>
    <w:rsid w:val="00FC0E91"/>
    <w:rsid w:val="00FC1DA6"/>
    <w:rsid w:val="00FC5D14"/>
    <w:rsid w:val="00FE080D"/>
    <w:rsid w:val="00FE2EC6"/>
    <w:rsid w:val="00FE406C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C30A69-3D8B-4C78-9647-660C7DC4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3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23BD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53FC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9053FC"/>
    <w:rPr>
      <w:lang w:eastAsia="en-US"/>
    </w:rPr>
  </w:style>
  <w:style w:type="character" w:styleId="Appelnotedebasdep">
    <w:name w:val="footnote reference"/>
    <w:uiPriority w:val="99"/>
    <w:semiHidden/>
    <w:unhideWhenUsed/>
    <w:rsid w:val="009053FC"/>
    <w:rPr>
      <w:vertAlign w:val="superscript"/>
    </w:rPr>
  </w:style>
  <w:style w:type="paragraph" w:customStyle="1" w:styleId="Default">
    <w:name w:val="Default"/>
    <w:rsid w:val="009B4D11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2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26A0C"/>
    <w:rPr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52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6A0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6A93041-973A-4853-83E5-603634375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7DBD6-E450-490A-9540-725783E25389}"/>
</file>

<file path=customXml/itemProps3.xml><?xml version="1.0" encoding="utf-8"?>
<ds:datastoreItem xmlns:ds="http://schemas.openxmlformats.org/officeDocument/2006/customXml" ds:itemID="{07B58F3C-1BAE-41B6-A925-C0F06CF7723B}"/>
</file>

<file path=customXml/itemProps4.xml><?xml version="1.0" encoding="utf-8"?>
<ds:datastoreItem xmlns:ds="http://schemas.openxmlformats.org/officeDocument/2006/customXml" ds:itemID="{F272F3A0-48AC-4FD8-9DDB-B35637B7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3432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Claude TREMONT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