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4AF" w:rsidRPr="004C6339" w:rsidRDefault="002A34AF" w:rsidP="004C6339">
      <w:pPr>
        <w:pStyle w:val="Default"/>
        <w:rPr>
          <w:rFonts w:ascii="Arial" w:hAnsi="Arial" w:cs="Arial"/>
          <w:sz w:val="22"/>
          <w:szCs w:val="22"/>
        </w:rPr>
      </w:pPr>
      <w:bookmarkStart w:id="0" w:name="_GoBack"/>
      <w:bookmarkEnd w:id="0"/>
      <w:r w:rsidRPr="004C6339">
        <w:rPr>
          <w:rFonts w:ascii="Arial" w:hAnsi="Arial" w:cs="Arial"/>
          <w:b/>
          <w:bCs/>
          <w:sz w:val="22"/>
          <w:szCs w:val="22"/>
          <w:lang w:val="fr-FR"/>
        </w:rPr>
        <w:t xml:space="preserve">Projet de loi </w:t>
      </w:r>
      <w:r w:rsidR="004C6339" w:rsidRPr="004C6339">
        <w:rPr>
          <w:rFonts w:ascii="Arial" w:hAnsi="Arial" w:cs="Arial"/>
          <w:b/>
          <w:bCs/>
          <w:sz w:val="22"/>
          <w:szCs w:val="22"/>
          <w:lang w:val="fr-FR"/>
        </w:rPr>
        <w:t xml:space="preserve">6706 </w:t>
      </w:r>
      <w:r w:rsidRPr="004C6339">
        <w:rPr>
          <w:rFonts w:ascii="Arial" w:hAnsi="Arial" w:cs="Arial"/>
          <w:b/>
          <w:bCs/>
          <w:sz w:val="22"/>
          <w:szCs w:val="22"/>
        </w:rPr>
        <w:t>portant modification</w:t>
      </w:r>
    </w:p>
    <w:p w:rsidR="002A34AF" w:rsidRPr="004C6339" w:rsidRDefault="002A34AF" w:rsidP="004C6339">
      <w:pPr>
        <w:pStyle w:val="Pa5"/>
        <w:spacing w:line="240" w:lineRule="auto"/>
        <w:jc w:val="both"/>
        <w:rPr>
          <w:rFonts w:ascii="Arial" w:hAnsi="Arial" w:cs="Arial"/>
          <w:color w:val="000000"/>
          <w:sz w:val="22"/>
          <w:szCs w:val="22"/>
        </w:rPr>
      </w:pPr>
      <w:r w:rsidRPr="004C6339">
        <w:rPr>
          <w:rFonts w:ascii="Arial" w:hAnsi="Arial" w:cs="Arial"/>
          <w:b/>
          <w:bCs/>
          <w:color w:val="000000"/>
          <w:sz w:val="22"/>
          <w:szCs w:val="22"/>
        </w:rPr>
        <w:t>– de la loi modifiée du 16 octobre 1934 sur l’évaluation des biens et valeurs;</w:t>
      </w:r>
    </w:p>
    <w:p w:rsidR="002A34AF" w:rsidRPr="004C6339" w:rsidRDefault="002A34AF" w:rsidP="004C6339">
      <w:pPr>
        <w:pStyle w:val="Pa5"/>
        <w:spacing w:line="240" w:lineRule="auto"/>
        <w:jc w:val="both"/>
        <w:rPr>
          <w:rFonts w:ascii="Arial" w:hAnsi="Arial" w:cs="Arial"/>
          <w:color w:val="000000"/>
          <w:sz w:val="22"/>
          <w:szCs w:val="22"/>
        </w:rPr>
      </w:pPr>
      <w:r w:rsidRPr="004C6339">
        <w:rPr>
          <w:rFonts w:ascii="Arial" w:hAnsi="Arial" w:cs="Arial"/>
          <w:b/>
          <w:bCs/>
          <w:color w:val="000000"/>
          <w:sz w:val="22"/>
          <w:szCs w:val="22"/>
        </w:rPr>
        <w:t>– de la loi modifiée du 16 octobre 1934 concernant l’impôt sur la fortune;</w:t>
      </w:r>
    </w:p>
    <w:p w:rsidR="002A34AF" w:rsidRPr="004C6339" w:rsidRDefault="002A34AF" w:rsidP="004C6339">
      <w:pPr>
        <w:pStyle w:val="Pa5"/>
        <w:spacing w:line="240" w:lineRule="auto"/>
        <w:jc w:val="both"/>
        <w:rPr>
          <w:rFonts w:ascii="Arial" w:hAnsi="Arial" w:cs="Arial"/>
          <w:color w:val="000000"/>
          <w:sz w:val="22"/>
          <w:szCs w:val="22"/>
        </w:rPr>
      </w:pPr>
      <w:r w:rsidRPr="004C6339">
        <w:rPr>
          <w:rFonts w:ascii="Arial" w:hAnsi="Arial" w:cs="Arial"/>
          <w:b/>
          <w:bCs/>
          <w:color w:val="000000"/>
          <w:sz w:val="22"/>
          <w:szCs w:val="22"/>
        </w:rPr>
        <w:t>– de la loi modifiée du 27 novembre 1933 concernant le recouvrement des contributions directes, des droits d’accise sur l’eau-de-vie et des cotisations d’assurance sociale;</w:t>
      </w:r>
    </w:p>
    <w:p w:rsidR="002A34AF" w:rsidRPr="004C6339" w:rsidRDefault="002A34AF" w:rsidP="004C6339">
      <w:pPr>
        <w:widowControl w:val="0"/>
        <w:autoSpaceDE w:val="0"/>
        <w:autoSpaceDN w:val="0"/>
        <w:adjustRightInd w:val="0"/>
        <w:jc w:val="both"/>
        <w:rPr>
          <w:rFonts w:ascii="Arial" w:hAnsi="Arial" w:cs="Arial"/>
          <w:sz w:val="22"/>
          <w:szCs w:val="22"/>
          <w:lang w:val="fr-LU"/>
        </w:rPr>
      </w:pPr>
      <w:r w:rsidRPr="004C6339">
        <w:rPr>
          <w:rFonts w:ascii="Arial" w:hAnsi="Arial" w:cs="Arial"/>
          <w:b/>
          <w:bCs/>
          <w:color w:val="000000"/>
          <w:sz w:val="22"/>
          <w:szCs w:val="22"/>
          <w:lang w:val="fr-LU"/>
        </w:rPr>
        <w:t>– de la loi modifiée du 22 décembre 1951 portant prorogation du délai de prescription de certains impôts directs et précision des conditions dans lesquelles les prescriptions fiscales peuvent être interrompues</w:t>
      </w:r>
    </w:p>
    <w:p w:rsidR="004C6339" w:rsidRDefault="004C6339" w:rsidP="004C6339">
      <w:pPr>
        <w:widowControl w:val="0"/>
        <w:autoSpaceDE w:val="0"/>
        <w:autoSpaceDN w:val="0"/>
        <w:adjustRightInd w:val="0"/>
        <w:jc w:val="both"/>
        <w:rPr>
          <w:rFonts w:ascii="Arial" w:hAnsi="Arial" w:cs="Arial"/>
          <w:sz w:val="22"/>
          <w:szCs w:val="22"/>
          <w:lang w:val="fr-FR"/>
        </w:rPr>
      </w:pPr>
    </w:p>
    <w:p w:rsidR="002A34AF" w:rsidRDefault="002A34AF" w:rsidP="004C6339">
      <w:pPr>
        <w:widowControl w:val="0"/>
        <w:autoSpaceDE w:val="0"/>
        <w:autoSpaceDN w:val="0"/>
        <w:adjustRightInd w:val="0"/>
        <w:jc w:val="both"/>
        <w:rPr>
          <w:rFonts w:ascii="Arial" w:hAnsi="Arial" w:cs="Arial"/>
          <w:sz w:val="22"/>
          <w:szCs w:val="22"/>
          <w:lang w:val="fr-FR"/>
        </w:rPr>
      </w:pPr>
      <w:r w:rsidRPr="000E4379">
        <w:rPr>
          <w:rFonts w:ascii="Arial" w:hAnsi="Arial" w:cs="Arial"/>
          <w:sz w:val="22"/>
          <w:szCs w:val="22"/>
          <w:lang w:val="fr-FR"/>
        </w:rPr>
        <w:t xml:space="preserve">Le projet de loi </w:t>
      </w:r>
      <w:r>
        <w:rPr>
          <w:rFonts w:ascii="Arial" w:hAnsi="Arial" w:cs="Arial"/>
          <w:sz w:val="22"/>
          <w:szCs w:val="22"/>
          <w:lang w:val="fr-FR"/>
        </w:rPr>
        <w:t xml:space="preserve">a </w:t>
      </w:r>
      <w:r w:rsidR="004C6339">
        <w:rPr>
          <w:rFonts w:ascii="Arial" w:hAnsi="Arial" w:cs="Arial"/>
          <w:sz w:val="22"/>
          <w:szCs w:val="22"/>
          <w:lang w:val="fr-FR"/>
        </w:rPr>
        <w:t>pour</w:t>
      </w:r>
      <w:r>
        <w:rPr>
          <w:rFonts w:ascii="Arial" w:hAnsi="Arial" w:cs="Arial"/>
          <w:sz w:val="22"/>
          <w:szCs w:val="22"/>
          <w:lang w:val="fr-FR"/>
        </w:rPr>
        <w:t xml:space="preserve"> objet la fixation</w:t>
      </w:r>
      <w:r w:rsidRPr="000E4379">
        <w:rPr>
          <w:rFonts w:ascii="Arial" w:hAnsi="Arial" w:cs="Arial"/>
          <w:sz w:val="22"/>
          <w:szCs w:val="22"/>
          <w:lang w:val="fr-FR"/>
        </w:rPr>
        <w:t xml:space="preserve"> de l’établissement annuel de l’impôt sur la fortune dans le chef des organismes à caractère collectif. Le passage à l’annualité en matière de l’impôt sur la fortune est motivé par des </w:t>
      </w:r>
      <w:r>
        <w:rPr>
          <w:rFonts w:ascii="Arial" w:hAnsi="Arial" w:cs="Arial"/>
          <w:sz w:val="22"/>
          <w:szCs w:val="22"/>
          <w:lang w:val="fr-FR"/>
        </w:rPr>
        <w:t xml:space="preserve">considérations d’ordre pratique, notamment en terme de simplification administrative. </w:t>
      </w:r>
      <w:r w:rsidRPr="000B7DBC">
        <w:rPr>
          <w:rFonts w:ascii="Arial" w:hAnsi="Arial" w:cs="Arial"/>
          <w:sz w:val="22"/>
          <w:szCs w:val="22"/>
          <w:lang w:val="fr-FR"/>
        </w:rPr>
        <w:t>Il est vrai que l’introduction de la déclaration électronique</w:t>
      </w:r>
      <w:r>
        <w:rPr>
          <w:rFonts w:ascii="Arial" w:hAnsi="Arial" w:cs="Arial"/>
          <w:sz w:val="22"/>
          <w:szCs w:val="22"/>
          <w:lang w:val="fr-FR"/>
        </w:rPr>
        <w:t>, d’application à partir de l’année 2015,</w:t>
      </w:r>
      <w:r w:rsidRPr="000B7DBC">
        <w:rPr>
          <w:rFonts w:ascii="Arial" w:hAnsi="Arial" w:cs="Arial"/>
          <w:sz w:val="22"/>
          <w:szCs w:val="22"/>
          <w:lang w:val="fr-FR"/>
        </w:rPr>
        <w:t xml:space="preserve"> impose</w:t>
      </w:r>
      <w:r w:rsidR="003D259E">
        <w:rPr>
          <w:rFonts w:ascii="Arial" w:hAnsi="Arial" w:cs="Arial"/>
          <w:sz w:val="22"/>
          <w:szCs w:val="22"/>
          <w:lang w:val="fr-FR"/>
        </w:rPr>
        <w:t>,</w:t>
      </w:r>
      <w:r w:rsidRPr="000B7DBC">
        <w:rPr>
          <w:rFonts w:ascii="Arial" w:hAnsi="Arial" w:cs="Arial"/>
          <w:sz w:val="22"/>
          <w:szCs w:val="22"/>
          <w:lang w:val="fr-FR"/>
        </w:rPr>
        <w:t xml:space="preserve"> pour des raisons de simplification</w:t>
      </w:r>
      <w:r w:rsidR="003D259E">
        <w:rPr>
          <w:rFonts w:ascii="Arial" w:hAnsi="Arial" w:cs="Arial"/>
          <w:sz w:val="22"/>
          <w:szCs w:val="22"/>
          <w:lang w:val="fr-FR"/>
        </w:rPr>
        <w:t>,</w:t>
      </w:r>
      <w:r w:rsidRPr="000B7DBC">
        <w:rPr>
          <w:rFonts w:ascii="Arial" w:hAnsi="Arial" w:cs="Arial"/>
          <w:sz w:val="22"/>
          <w:szCs w:val="22"/>
          <w:lang w:val="fr-FR"/>
        </w:rPr>
        <w:t xml:space="preserve"> la fixation annuelle de l’impôt sur la fortune.</w:t>
      </w:r>
      <w:r w:rsidR="00B75CD2">
        <w:rPr>
          <w:rFonts w:ascii="Arial" w:hAnsi="Arial" w:cs="Arial"/>
          <w:sz w:val="22"/>
          <w:szCs w:val="22"/>
          <w:lang w:val="fr-FR"/>
        </w:rPr>
        <w:t xml:space="preserve"> </w:t>
      </w:r>
      <w:r w:rsidRPr="000E4379">
        <w:rPr>
          <w:rFonts w:ascii="Arial" w:hAnsi="Arial" w:cs="Arial"/>
          <w:bCs/>
          <w:color w:val="000000"/>
          <w:sz w:val="22"/>
          <w:szCs w:val="22"/>
          <w:lang w:val="fr-FR"/>
        </w:rPr>
        <w:t>Il est rappelé que d</w:t>
      </w:r>
      <w:r w:rsidRPr="000E4379">
        <w:rPr>
          <w:rFonts w:ascii="Arial" w:hAnsi="Arial" w:cs="Arial"/>
          <w:sz w:val="22"/>
          <w:szCs w:val="22"/>
          <w:lang w:val="fr-FR"/>
        </w:rPr>
        <w:t>epuis le 1</w:t>
      </w:r>
      <w:r w:rsidRPr="000E4379">
        <w:rPr>
          <w:rFonts w:ascii="Arial" w:hAnsi="Arial" w:cs="Arial"/>
          <w:sz w:val="22"/>
          <w:szCs w:val="22"/>
          <w:vertAlign w:val="superscript"/>
          <w:lang w:val="fr-FR"/>
        </w:rPr>
        <w:t>er</w:t>
      </w:r>
      <w:r w:rsidRPr="000E4379">
        <w:rPr>
          <w:rFonts w:ascii="Arial" w:hAnsi="Arial" w:cs="Arial"/>
          <w:sz w:val="22"/>
          <w:szCs w:val="22"/>
          <w:lang w:val="fr-FR"/>
        </w:rPr>
        <w:t xml:space="preserve"> janvier 2006, les personnes physiques sont e</w:t>
      </w:r>
      <w:r>
        <w:rPr>
          <w:rFonts w:ascii="Arial" w:hAnsi="Arial" w:cs="Arial"/>
          <w:sz w:val="22"/>
          <w:szCs w:val="22"/>
          <w:lang w:val="fr-FR"/>
        </w:rPr>
        <w:t>xemptées de l’</w:t>
      </w:r>
      <w:r w:rsidRPr="000E4379">
        <w:rPr>
          <w:rFonts w:ascii="Arial" w:hAnsi="Arial" w:cs="Arial"/>
          <w:sz w:val="22"/>
          <w:szCs w:val="22"/>
          <w:lang w:val="fr-FR"/>
        </w:rPr>
        <w:t xml:space="preserve">impôt sur la fortune et </w:t>
      </w:r>
      <w:r w:rsidR="00B75CD2" w:rsidRPr="000E4379">
        <w:rPr>
          <w:rFonts w:ascii="Arial" w:hAnsi="Arial" w:cs="Arial"/>
          <w:sz w:val="22"/>
          <w:szCs w:val="22"/>
          <w:lang w:val="fr-FR"/>
        </w:rPr>
        <w:t xml:space="preserve">que </w:t>
      </w:r>
      <w:r w:rsidRPr="000E4379">
        <w:rPr>
          <w:rFonts w:ascii="Arial" w:hAnsi="Arial" w:cs="Arial"/>
          <w:sz w:val="22"/>
          <w:szCs w:val="22"/>
          <w:lang w:val="fr-FR"/>
        </w:rPr>
        <w:t>seuls les organismes à caractère collectif soumis à l'impôt sur le revenu des collectivités sont soumis à cet impôt en application de la loi du 23 décembre 2005 portant introduction d'une retenue à la source sur certains intérêts produits par l'épargne mobilière.</w:t>
      </w:r>
    </w:p>
    <w:p w:rsidR="002A34AF" w:rsidRDefault="002A34AF" w:rsidP="004C6339">
      <w:pPr>
        <w:widowControl w:val="0"/>
        <w:autoSpaceDE w:val="0"/>
        <w:autoSpaceDN w:val="0"/>
        <w:adjustRightInd w:val="0"/>
        <w:jc w:val="both"/>
        <w:rPr>
          <w:rFonts w:ascii="Arial" w:hAnsi="Arial" w:cs="Arial"/>
          <w:sz w:val="22"/>
          <w:szCs w:val="22"/>
          <w:lang w:val="fr-FR"/>
        </w:rPr>
      </w:pPr>
    </w:p>
    <w:p w:rsidR="002A34AF" w:rsidRPr="00601190" w:rsidRDefault="002A34AF" w:rsidP="004C6339">
      <w:pPr>
        <w:widowControl w:val="0"/>
        <w:autoSpaceDE w:val="0"/>
        <w:autoSpaceDN w:val="0"/>
        <w:adjustRightInd w:val="0"/>
        <w:jc w:val="both"/>
        <w:rPr>
          <w:rFonts w:ascii="Arial" w:hAnsi="Arial" w:cs="Arial"/>
          <w:sz w:val="22"/>
          <w:szCs w:val="22"/>
          <w:lang w:val="fr-FR"/>
        </w:rPr>
      </w:pPr>
      <w:r w:rsidRPr="00601190">
        <w:rPr>
          <w:rFonts w:ascii="Arial" w:hAnsi="Arial" w:cs="Arial"/>
          <w:sz w:val="22"/>
          <w:szCs w:val="22"/>
          <w:lang w:val="fr-FR"/>
        </w:rPr>
        <w:t>Actuellement, les dispositions en place de la loi modifiée du 16 octobre 1934 con</w:t>
      </w:r>
      <w:r>
        <w:rPr>
          <w:rFonts w:ascii="Arial" w:hAnsi="Arial" w:cs="Arial"/>
          <w:sz w:val="22"/>
          <w:szCs w:val="22"/>
          <w:lang w:val="fr-FR"/>
        </w:rPr>
        <w:t>cernant l’impôt sur la fortune prévoient</w:t>
      </w:r>
      <w:r w:rsidR="0049199F">
        <w:rPr>
          <w:rFonts w:ascii="Arial" w:hAnsi="Arial" w:cs="Arial"/>
          <w:sz w:val="22"/>
          <w:szCs w:val="22"/>
          <w:lang w:val="fr-FR"/>
        </w:rPr>
        <w:t>,</w:t>
      </w:r>
      <w:r w:rsidRPr="00601190">
        <w:rPr>
          <w:rFonts w:ascii="Arial" w:hAnsi="Arial" w:cs="Arial"/>
          <w:sz w:val="22"/>
          <w:szCs w:val="22"/>
          <w:lang w:val="fr-FR"/>
        </w:rPr>
        <w:t xml:space="preserve"> premièrement</w:t>
      </w:r>
      <w:r w:rsidR="0049199F">
        <w:rPr>
          <w:rFonts w:ascii="Arial" w:hAnsi="Arial" w:cs="Arial"/>
          <w:sz w:val="22"/>
          <w:szCs w:val="22"/>
          <w:lang w:val="fr-FR"/>
        </w:rPr>
        <w:t>,</w:t>
      </w:r>
      <w:r w:rsidRPr="00601190">
        <w:rPr>
          <w:rFonts w:ascii="Arial" w:hAnsi="Arial" w:cs="Arial"/>
          <w:sz w:val="22"/>
          <w:szCs w:val="22"/>
          <w:lang w:val="fr-FR"/>
        </w:rPr>
        <w:t xml:space="preserve"> que l’impôt sur la fortune est établi par assiette générale ayant lieu tous les trois ans, et que</w:t>
      </w:r>
      <w:r w:rsidR="0049199F">
        <w:rPr>
          <w:rFonts w:ascii="Arial" w:hAnsi="Arial" w:cs="Arial"/>
          <w:sz w:val="22"/>
          <w:szCs w:val="22"/>
          <w:lang w:val="fr-FR"/>
        </w:rPr>
        <w:t>,</w:t>
      </w:r>
      <w:r w:rsidRPr="00601190">
        <w:rPr>
          <w:rFonts w:ascii="Arial" w:hAnsi="Arial" w:cs="Arial"/>
          <w:sz w:val="22"/>
          <w:szCs w:val="22"/>
          <w:lang w:val="fr-FR"/>
        </w:rPr>
        <w:t xml:space="preserve"> deuxièmement</w:t>
      </w:r>
      <w:r w:rsidR="0049199F">
        <w:rPr>
          <w:rFonts w:ascii="Arial" w:hAnsi="Arial" w:cs="Arial"/>
          <w:sz w:val="22"/>
          <w:szCs w:val="22"/>
          <w:lang w:val="fr-FR"/>
        </w:rPr>
        <w:t>,</w:t>
      </w:r>
      <w:r w:rsidRPr="00601190">
        <w:rPr>
          <w:rFonts w:ascii="Arial" w:hAnsi="Arial" w:cs="Arial"/>
          <w:sz w:val="22"/>
          <w:szCs w:val="22"/>
          <w:lang w:val="fr-FR"/>
        </w:rPr>
        <w:t xml:space="preserve"> il est à procéder à une nouvelle fixation de la valeur unitaire entre ces périodes si l’accroissement ou la diminution de la fortune d’exploitation d’un organisme à caractère collectif dépasse certaines limites. </w:t>
      </w:r>
      <w:r>
        <w:rPr>
          <w:rFonts w:ascii="Arial" w:hAnsi="Arial" w:cs="Arial"/>
          <w:sz w:val="22"/>
          <w:szCs w:val="22"/>
          <w:lang w:val="fr-FR"/>
        </w:rPr>
        <w:t>A l</w:t>
      </w:r>
      <w:r>
        <w:rPr>
          <w:rFonts w:ascii="Arial" w:hAnsi="Arial" w:cs="Arial"/>
          <w:vanish/>
          <w:sz w:val="22"/>
          <w:szCs w:val="22"/>
          <w:lang w:val="fr-FR"/>
        </w:rPr>
        <w:t xml:space="preserve">suggestionnent enures proposée  révoientnt en </w:t>
      </w:r>
      <w:r>
        <w:rPr>
          <w:rFonts w:ascii="Arial" w:hAnsi="Arial" w:cs="Arial"/>
          <w:vanish/>
          <w:sz w:val="22"/>
          <w:szCs w:val="22"/>
          <w:lang w:val="fr-FR"/>
        </w:rPr>
        <w:cr/>
        <w:t xml:space="preserve">yé au commenatire des articels. s les trois ans, </w:t>
      </w:r>
      <w:r>
        <w:rPr>
          <w:rFonts w:ascii="Arial" w:hAnsi="Arial" w:cs="Arial"/>
          <w:vanish/>
          <w:sz w:val="22"/>
          <w:szCs w:val="22"/>
          <w:lang w:val="fr-FR"/>
        </w:rPr>
        <w:pgNum/>
      </w:r>
      <w:r>
        <w:rPr>
          <w:rFonts w:ascii="Arial" w:hAnsi="Arial" w:cs="Arial"/>
          <w:vanish/>
          <w:sz w:val="22"/>
          <w:szCs w:val="22"/>
          <w:lang w:val="fr-FR"/>
        </w:rPr>
        <w:pgNum/>
      </w:r>
      <w:r>
        <w:rPr>
          <w:rFonts w:ascii="Arial" w:hAnsi="Arial" w:cs="Arial"/>
          <w:vanish/>
          <w:sz w:val="22"/>
          <w:szCs w:val="22"/>
          <w:lang w:val="fr-FR"/>
        </w:rPr>
        <w:pgNum/>
      </w:r>
      <w:r>
        <w:rPr>
          <w:rFonts w:ascii="Arial" w:hAnsi="Arial" w:cs="Arial"/>
          <w:vanish/>
          <w:sz w:val="22"/>
          <w:szCs w:val="22"/>
          <w:lang w:val="fr-FR"/>
        </w:rPr>
        <w:pgNum/>
      </w:r>
      <w:r>
        <w:rPr>
          <w:rFonts w:ascii="Arial" w:hAnsi="Arial" w:cs="Arial"/>
          <w:vanish/>
          <w:sz w:val="22"/>
          <w:szCs w:val="22"/>
          <w:lang w:val="fr-FR"/>
        </w:rPr>
        <w:pgNum/>
      </w:r>
      <w:r>
        <w:rPr>
          <w:rFonts w:ascii="Arial" w:hAnsi="Arial" w:cs="Arial"/>
          <w:vanish/>
          <w:sz w:val="22"/>
          <w:szCs w:val="22"/>
          <w:lang w:val="fr-FR"/>
        </w:rPr>
        <w:pgNum/>
      </w:r>
      <w:r>
        <w:rPr>
          <w:rFonts w:ascii="Arial" w:hAnsi="Arial" w:cs="Arial"/>
          <w:vanish/>
          <w:sz w:val="22"/>
          <w:szCs w:val="22"/>
          <w:lang w:val="fr-FR"/>
        </w:rPr>
        <w:pgNum/>
      </w:r>
      <w:r>
        <w:rPr>
          <w:rFonts w:ascii="Arial" w:hAnsi="Arial" w:cs="Arial"/>
          <w:vanish/>
          <w:sz w:val="22"/>
          <w:szCs w:val="22"/>
          <w:lang w:val="fr-FR"/>
        </w:rPr>
        <w:pgNum/>
      </w:r>
      <w:r>
        <w:rPr>
          <w:rFonts w:ascii="Arial" w:hAnsi="Arial" w:cs="Arial"/>
          <w:vanish/>
          <w:sz w:val="22"/>
          <w:szCs w:val="22"/>
          <w:lang w:val="fr-FR"/>
        </w:rPr>
        <w:pgNum/>
      </w:r>
      <w:r>
        <w:rPr>
          <w:rFonts w:ascii="Arial" w:hAnsi="Arial" w:cs="Arial"/>
          <w:vanish/>
          <w:sz w:val="22"/>
          <w:szCs w:val="22"/>
          <w:lang w:val="fr-FR"/>
        </w:rPr>
        <w:pgNum/>
      </w:r>
      <w:r>
        <w:rPr>
          <w:rFonts w:ascii="Arial" w:hAnsi="Arial" w:cs="Arial"/>
          <w:vanish/>
          <w:sz w:val="22"/>
          <w:szCs w:val="22"/>
          <w:lang w:val="fr-FR"/>
        </w:rPr>
        <w:pgNum/>
      </w:r>
      <w:r>
        <w:rPr>
          <w:rFonts w:ascii="Arial" w:hAnsi="Arial" w:cs="Arial"/>
          <w:vanish/>
          <w:sz w:val="22"/>
          <w:szCs w:val="22"/>
          <w:lang w:val="fr-FR"/>
        </w:rPr>
        <w:pgNum/>
      </w:r>
      <w:r>
        <w:rPr>
          <w:rFonts w:ascii="Arial" w:hAnsi="Arial" w:cs="Arial"/>
          <w:vanish/>
          <w:sz w:val="22"/>
          <w:szCs w:val="22"/>
          <w:lang w:val="fr-FR"/>
        </w:rPr>
        <w:pgNum/>
      </w:r>
      <w:r>
        <w:rPr>
          <w:rFonts w:ascii="Arial" w:hAnsi="Arial" w:cs="Arial"/>
          <w:vanish/>
          <w:sz w:val="22"/>
          <w:szCs w:val="22"/>
          <w:lang w:val="fr-FR"/>
        </w:rPr>
        <w:pgNum/>
      </w:r>
      <w:r>
        <w:rPr>
          <w:rFonts w:ascii="Arial" w:hAnsi="Arial" w:cs="Arial"/>
          <w:vanish/>
          <w:sz w:val="22"/>
          <w:szCs w:val="22"/>
          <w:lang w:val="fr-FR"/>
        </w:rPr>
        <w:pgNum/>
      </w:r>
      <w:r>
        <w:rPr>
          <w:rFonts w:ascii="Arial" w:hAnsi="Arial" w:cs="Arial"/>
          <w:vanish/>
          <w:sz w:val="22"/>
          <w:szCs w:val="22"/>
          <w:lang w:val="fr-FR"/>
        </w:rPr>
        <w:pgNum/>
      </w:r>
      <w:r>
        <w:rPr>
          <w:rFonts w:ascii="Arial" w:hAnsi="Arial" w:cs="Arial"/>
          <w:vanish/>
          <w:sz w:val="22"/>
          <w:szCs w:val="22"/>
          <w:lang w:val="fr-FR"/>
        </w:rPr>
        <w:pgNum/>
      </w:r>
      <w:r>
        <w:rPr>
          <w:rFonts w:ascii="Arial" w:hAnsi="Arial" w:cs="Arial"/>
          <w:vanish/>
          <w:sz w:val="22"/>
          <w:szCs w:val="22"/>
          <w:lang w:val="fr-FR"/>
        </w:rPr>
        <w:pgNum/>
      </w:r>
      <w:r>
        <w:rPr>
          <w:rFonts w:ascii="Arial" w:hAnsi="Arial" w:cs="Arial"/>
          <w:vanish/>
          <w:sz w:val="22"/>
          <w:szCs w:val="22"/>
          <w:lang w:val="fr-FR"/>
        </w:rPr>
        <w:pgNum/>
      </w:r>
      <w:r>
        <w:rPr>
          <w:rFonts w:ascii="Arial" w:hAnsi="Arial" w:cs="Arial"/>
          <w:vanish/>
          <w:sz w:val="22"/>
          <w:szCs w:val="22"/>
          <w:lang w:val="fr-FR"/>
        </w:rPr>
        <w:pgNum/>
      </w:r>
      <w:r>
        <w:rPr>
          <w:rFonts w:ascii="Arial" w:hAnsi="Arial" w:cs="Arial"/>
          <w:vanish/>
          <w:sz w:val="22"/>
          <w:szCs w:val="22"/>
          <w:lang w:val="fr-FR"/>
        </w:rPr>
        <w:pgNum/>
      </w:r>
      <w:r>
        <w:rPr>
          <w:rFonts w:ascii="Arial" w:hAnsi="Arial" w:cs="Arial"/>
          <w:vanish/>
          <w:sz w:val="22"/>
          <w:szCs w:val="22"/>
          <w:lang w:val="fr-FR"/>
        </w:rPr>
        <w:pgNum/>
      </w:r>
      <w:r>
        <w:rPr>
          <w:rFonts w:ascii="Arial" w:hAnsi="Arial" w:cs="Arial"/>
          <w:vanish/>
          <w:sz w:val="22"/>
          <w:szCs w:val="22"/>
          <w:lang w:val="fr-FR"/>
        </w:rPr>
        <w:pgNum/>
      </w:r>
      <w:r>
        <w:rPr>
          <w:rFonts w:ascii="Arial" w:hAnsi="Arial" w:cs="Arial"/>
          <w:vanish/>
          <w:sz w:val="22"/>
          <w:szCs w:val="22"/>
          <w:lang w:val="fr-FR"/>
        </w:rPr>
        <w:pgNum/>
      </w:r>
      <w:r>
        <w:rPr>
          <w:rFonts w:ascii="Arial" w:hAnsi="Arial" w:cs="Arial"/>
          <w:vanish/>
          <w:sz w:val="22"/>
          <w:szCs w:val="22"/>
          <w:lang w:val="fr-FR"/>
        </w:rPr>
        <w:pgNum/>
      </w:r>
      <w:r>
        <w:rPr>
          <w:rFonts w:ascii="Arial" w:hAnsi="Arial" w:cs="Arial"/>
          <w:vanish/>
          <w:sz w:val="22"/>
          <w:szCs w:val="22"/>
          <w:lang w:val="fr-FR"/>
        </w:rPr>
        <w:pgNum/>
      </w:r>
      <w:r>
        <w:rPr>
          <w:rFonts w:ascii="Arial" w:hAnsi="Arial" w:cs="Arial"/>
          <w:vanish/>
          <w:sz w:val="22"/>
          <w:szCs w:val="22"/>
          <w:lang w:val="fr-FR"/>
        </w:rPr>
        <w:pgNum/>
      </w:r>
      <w:r>
        <w:rPr>
          <w:rFonts w:ascii="Arial" w:hAnsi="Arial" w:cs="Arial"/>
          <w:vanish/>
          <w:sz w:val="22"/>
          <w:szCs w:val="22"/>
          <w:lang w:val="fr-FR"/>
        </w:rPr>
        <w:pgNum/>
      </w:r>
      <w:r>
        <w:rPr>
          <w:rFonts w:ascii="Arial" w:hAnsi="Arial" w:cs="Arial"/>
          <w:vanish/>
          <w:sz w:val="22"/>
          <w:szCs w:val="22"/>
          <w:lang w:val="fr-FR"/>
        </w:rPr>
        <w:pgNum/>
      </w:r>
      <w:r>
        <w:rPr>
          <w:rFonts w:ascii="Arial" w:hAnsi="Arial" w:cs="Arial"/>
          <w:vanish/>
          <w:sz w:val="22"/>
          <w:szCs w:val="22"/>
          <w:lang w:val="fr-FR"/>
        </w:rPr>
        <w:pgNum/>
      </w:r>
      <w:r>
        <w:rPr>
          <w:rFonts w:ascii="Arial" w:hAnsi="Arial" w:cs="Arial"/>
          <w:vanish/>
          <w:sz w:val="22"/>
          <w:szCs w:val="22"/>
          <w:lang w:val="fr-FR"/>
        </w:rPr>
        <w:pgNum/>
      </w:r>
      <w:r>
        <w:rPr>
          <w:rFonts w:ascii="Arial" w:hAnsi="Arial" w:cs="Arial"/>
          <w:vanish/>
          <w:sz w:val="22"/>
          <w:szCs w:val="22"/>
          <w:lang w:val="fr-FR"/>
        </w:rPr>
        <w:pgNum/>
      </w:r>
      <w:r>
        <w:rPr>
          <w:rFonts w:ascii="Arial" w:hAnsi="Arial" w:cs="Arial"/>
          <w:sz w:val="22"/>
          <w:szCs w:val="22"/>
          <w:lang w:val="fr-FR"/>
        </w:rPr>
        <w:t>’époque, l</w:t>
      </w:r>
      <w:r w:rsidRPr="00601190">
        <w:rPr>
          <w:rFonts w:ascii="Arial" w:hAnsi="Arial" w:cs="Arial"/>
          <w:sz w:val="22"/>
          <w:szCs w:val="22"/>
          <w:lang w:val="fr-FR"/>
        </w:rPr>
        <w:t>'adaptation de cette valeur sur une période de trois années avait été conçue comme une mesure de simplification, étant donné que des fixations nouvelles n'étaient nécessaires qu'en cas de variation de plus d'un cinquième des valeurs initialement fixées. Or, au fil du temps et surtout suite à la modification combinée de la loi concernant l'impôt sur la fortune et de la législation concernant l'impôt sur le revenu des collectivités, la périodicité triennale est devenue une complication administrative. En effet, l’administration des contributions directes vérifie en pratique chaque année si une nouvelle fixation s’impose. Dès lors, le passage à l’annualité en matière de détermination de la base imposab</w:t>
      </w:r>
      <w:r w:rsidR="0049199F">
        <w:rPr>
          <w:rFonts w:ascii="Arial" w:hAnsi="Arial" w:cs="Arial"/>
          <w:sz w:val="22"/>
          <w:szCs w:val="22"/>
          <w:lang w:val="fr-FR"/>
        </w:rPr>
        <w:t xml:space="preserve">le pour l’impôt sur la fortune </w:t>
      </w:r>
      <w:r w:rsidRPr="00601190">
        <w:rPr>
          <w:rFonts w:ascii="Arial" w:hAnsi="Arial" w:cs="Arial"/>
          <w:sz w:val="22"/>
          <w:szCs w:val="22"/>
          <w:lang w:val="fr-FR"/>
        </w:rPr>
        <w:t>e</w:t>
      </w:r>
      <w:r w:rsidR="0049199F">
        <w:rPr>
          <w:rFonts w:ascii="Arial" w:hAnsi="Arial" w:cs="Arial"/>
          <w:sz w:val="22"/>
          <w:szCs w:val="22"/>
          <w:lang w:val="fr-FR"/>
        </w:rPr>
        <w:t>st</w:t>
      </w:r>
      <w:r w:rsidRPr="00601190">
        <w:rPr>
          <w:rFonts w:ascii="Arial" w:hAnsi="Arial" w:cs="Arial"/>
          <w:sz w:val="22"/>
          <w:szCs w:val="22"/>
          <w:lang w:val="fr-FR"/>
        </w:rPr>
        <w:t xml:space="preserve"> recommand</w:t>
      </w:r>
      <w:r w:rsidR="0049199F">
        <w:rPr>
          <w:rFonts w:ascii="Arial" w:hAnsi="Arial" w:cs="Arial"/>
          <w:sz w:val="22"/>
          <w:szCs w:val="22"/>
          <w:lang w:val="fr-FR"/>
        </w:rPr>
        <w:t>é</w:t>
      </w:r>
      <w:r w:rsidRPr="00601190">
        <w:rPr>
          <w:rFonts w:ascii="Arial" w:hAnsi="Arial" w:cs="Arial"/>
          <w:sz w:val="22"/>
          <w:szCs w:val="22"/>
          <w:lang w:val="fr-FR"/>
        </w:rPr>
        <w:t xml:space="preserve"> pour des raisons pratiques.</w:t>
      </w:r>
    </w:p>
    <w:p w:rsidR="002A34AF" w:rsidRDefault="002A34AF" w:rsidP="004C6339">
      <w:pPr>
        <w:widowControl w:val="0"/>
        <w:autoSpaceDE w:val="0"/>
        <w:autoSpaceDN w:val="0"/>
        <w:adjustRightInd w:val="0"/>
        <w:jc w:val="both"/>
        <w:rPr>
          <w:rFonts w:ascii="Arial" w:hAnsi="Arial" w:cs="Arial"/>
          <w:sz w:val="22"/>
          <w:szCs w:val="22"/>
          <w:lang w:val="fr-FR"/>
        </w:rPr>
      </w:pPr>
    </w:p>
    <w:p w:rsidR="002A34AF" w:rsidRDefault="002A34AF" w:rsidP="004C6339">
      <w:pPr>
        <w:widowControl w:val="0"/>
        <w:autoSpaceDE w:val="0"/>
        <w:autoSpaceDN w:val="0"/>
        <w:adjustRightInd w:val="0"/>
        <w:jc w:val="both"/>
        <w:rPr>
          <w:rFonts w:ascii="Arial" w:hAnsi="Arial" w:cs="Arial"/>
          <w:sz w:val="22"/>
          <w:szCs w:val="22"/>
          <w:lang w:val="fr-FR"/>
        </w:rPr>
      </w:pPr>
      <w:r w:rsidRPr="000B7DBC">
        <w:rPr>
          <w:rFonts w:ascii="Arial" w:hAnsi="Arial" w:cs="Arial"/>
          <w:sz w:val="22"/>
          <w:szCs w:val="22"/>
          <w:lang w:val="fr-FR"/>
        </w:rPr>
        <w:t xml:space="preserve">Etant donné que les dispositions concernant les éléments constitutifs de la fortune totale ou indigène d’un organisme à caractère collectif, ainsi que celles relatives à la fixation des valeurs fiscales de ces éléments font l’objet de la loi modifiée du 16 octobre 1934 sur l’évaluation des biens et valeurs, il y a lieu de considérer également ces dispositions dans un souci de cohérence et d’interconnexion entre les deux lois </w:t>
      </w:r>
      <w:r w:rsidRPr="000E4379">
        <w:rPr>
          <w:rFonts w:ascii="Arial" w:hAnsi="Arial" w:cs="Arial"/>
          <w:sz w:val="22"/>
          <w:szCs w:val="22"/>
          <w:lang w:val="fr-FR"/>
        </w:rPr>
        <w:t xml:space="preserve">citées. La valeur unitaire de la fortune d'exploitation et l'impôt sur la fortune seront </w:t>
      </w:r>
      <w:r>
        <w:rPr>
          <w:rFonts w:ascii="Arial" w:hAnsi="Arial" w:cs="Arial"/>
          <w:sz w:val="22"/>
          <w:szCs w:val="22"/>
          <w:lang w:val="fr-FR"/>
        </w:rPr>
        <w:t xml:space="preserve">en effet </w:t>
      </w:r>
      <w:r w:rsidRPr="000E4379">
        <w:rPr>
          <w:rFonts w:ascii="Arial" w:hAnsi="Arial" w:cs="Arial"/>
          <w:sz w:val="22"/>
          <w:szCs w:val="22"/>
          <w:lang w:val="fr-FR"/>
        </w:rPr>
        <w:t>désormais dét</w:t>
      </w:r>
      <w:r>
        <w:rPr>
          <w:rFonts w:ascii="Arial" w:hAnsi="Arial" w:cs="Arial"/>
          <w:sz w:val="22"/>
          <w:szCs w:val="22"/>
          <w:lang w:val="fr-FR"/>
        </w:rPr>
        <w:t>erminés parallèlement.</w:t>
      </w:r>
    </w:p>
    <w:p w:rsidR="002A34AF" w:rsidRDefault="002A34AF" w:rsidP="004C6339">
      <w:pPr>
        <w:widowControl w:val="0"/>
        <w:autoSpaceDE w:val="0"/>
        <w:autoSpaceDN w:val="0"/>
        <w:adjustRightInd w:val="0"/>
        <w:jc w:val="both"/>
        <w:rPr>
          <w:rFonts w:ascii="Arial" w:hAnsi="Arial" w:cs="Arial"/>
          <w:sz w:val="22"/>
          <w:szCs w:val="22"/>
          <w:lang w:val="fr-FR"/>
        </w:rPr>
      </w:pPr>
    </w:p>
    <w:p w:rsidR="002A34AF" w:rsidRPr="00F3091C" w:rsidRDefault="002A34AF" w:rsidP="004C6339">
      <w:pPr>
        <w:widowControl w:val="0"/>
        <w:autoSpaceDE w:val="0"/>
        <w:autoSpaceDN w:val="0"/>
        <w:adjustRightInd w:val="0"/>
        <w:jc w:val="both"/>
        <w:rPr>
          <w:rFonts w:ascii="Arial" w:hAnsi="Arial" w:cs="Arial"/>
          <w:sz w:val="22"/>
          <w:szCs w:val="22"/>
          <w:lang w:val="fr-FR"/>
        </w:rPr>
      </w:pPr>
      <w:r w:rsidRPr="00F3091C">
        <w:rPr>
          <w:rFonts w:ascii="Arial" w:hAnsi="Arial" w:cs="Arial"/>
          <w:sz w:val="22"/>
          <w:szCs w:val="22"/>
          <w:lang w:val="fr-FR"/>
        </w:rPr>
        <w:t>Le passage proposé vers l’annualité de l’assiette générale de l’i</w:t>
      </w:r>
      <w:r>
        <w:rPr>
          <w:rFonts w:ascii="Arial" w:hAnsi="Arial" w:cs="Arial"/>
          <w:sz w:val="22"/>
          <w:szCs w:val="22"/>
          <w:lang w:val="fr-FR"/>
        </w:rPr>
        <w:t xml:space="preserve">mpôt sur la fortune nécessite </w:t>
      </w:r>
      <w:r w:rsidRPr="00F3091C">
        <w:rPr>
          <w:rFonts w:ascii="Arial" w:hAnsi="Arial" w:cs="Arial"/>
          <w:sz w:val="22"/>
          <w:szCs w:val="22"/>
          <w:lang w:val="fr-FR"/>
        </w:rPr>
        <w:t>une mesure transitoire vu que la dernière période générale d’assiette de trois ans ne s’éteint qu’avec l’année civile 2016, alors que le projet de loi propose d’instaurer la périodicité annuelle à partir du 1</w:t>
      </w:r>
      <w:r w:rsidRPr="003F08FB">
        <w:rPr>
          <w:rFonts w:ascii="Arial" w:hAnsi="Arial" w:cs="Arial"/>
          <w:sz w:val="22"/>
          <w:szCs w:val="22"/>
          <w:vertAlign w:val="superscript"/>
          <w:lang w:val="fr-FR"/>
        </w:rPr>
        <w:t>er</w:t>
      </w:r>
      <w:r w:rsidRPr="00F3091C">
        <w:rPr>
          <w:rFonts w:ascii="Arial" w:hAnsi="Arial" w:cs="Arial"/>
          <w:sz w:val="22"/>
          <w:szCs w:val="22"/>
          <w:lang w:val="fr-FR"/>
        </w:rPr>
        <w:t xml:space="preserve"> janvier 2015. </w:t>
      </w:r>
    </w:p>
    <w:p w:rsidR="002A34AF" w:rsidRDefault="002A34AF" w:rsidP="004C6339">
      <w:pPr>
        <w:widowControl w:val="0"/>
        <w:autoSpaceDE w:val="0"/>
        <w:autoSpaceDN w:val="0"/>
        <w:adjustRightInd w:val="0"/>
        <w:jc w:val="both"/>
        <w:rPr>
          <w:rFonts w:ascii="Arial" w:hAnsi="Arial" w:cs="Arial"/>
          <w:sz w:val="22"/>
          <w:szCs w:val="22"/>
          <w:lang w:val="fr-FR"/>
        </w:rPr>
      </w:pPr>
    </w:p>
    <w:p w:rsidR="002A34AF" w:rsidRDefault="002A34AF" w:rsidP="004C6339">
      <w:pPr>
        <w:widowControl w:val="0"/>
        <w:autoSpaceDE w:val="0"/>
        <w:autoSpaceDN w:val="0"/>
        <w:adjustRightInd w:val="0"/>
        <w:jc w:val="both"/>
        <w:rPr>
          <w:rFonts w:ascii="Arial" w:hAnsi="Arial" w:cs="Arial"/>
          <w:bCs/>
          <w:color w:val="000000"/>
          <w:sz w:val="22"/>
          <w:szCs w:val="22"/>
          <w:lang w:val="fr-FR"/>
        </w:rPr>
      </w:pPr>
      <w:r w:rsidRPr="000B7DBC">
        <w:rPr>
          <w:rFonts w:ascii="Arial" w:hAnsi="Arial" w:cs="Arial"/>
          <w:sz w:val="22"/>
          <w:szCs w:val="22"/>
          <w:lang w:val="fr-FR"/>
        </w:rPr>
        <w:t xml:space="preserve">En outre, la loi en projet introduit plusieurs autres simplifications techniques. Il est </w:t>
      </w:r>
      <w:r>
        <w:rPr>
          <w:rFonts w:ascii="Arial" w:hAnsi="Arial" w:cs="Arial"/>
          <w:sz w:val="22"/>
          <w:szCs w:val="22"/>
          <w:lang w:val="fr-FR"/>
        </w:rPr>
        <w:t>ainsi</w:t>
      </w:r>
      <w:r w:rsidRPr="000B7DBC">
        <w:rPr>
          <w:rFonts w:ascii="Arial" w:hAnsi="Arial" w:cs="Arial"/>
          <w:sz w:val="22"/>
          <w:szCs w:val="22"/>
          <w:lang w:val="fr-FR"/>
        </w:rPr>
        <w:t xml:space="preserve"> proposé de </w:t>
      </w:r>
      <w:r>
        <w:rPr>
          <w:rFonts w:ascii="Arial" w:hAnsi="Arial" w:cs="Arial"/>
          <w:sz w:val="22"/>
          <w:szCs w:val="22"/>
          <w:lang w:val="fr-FR"/>
        </w:rPr>
        <w:t xml:space="preserve">notamment </w:t>
      </w:r>
      <w:r w:rsidRPr="000B7DBC">
        <w:rPr>
          <w:rFonts w:ascii="Arial" w:hAnsi="Arial" w:cs="Arial"/>
          <w:sz w:val="22"/>
          <w:szCs w:val="22"/>
          <w:lang w:val="fr-FR"/>
        </w:rPr>
        <w:t xml:space="preserve">simplifier l’application du paragraphe 8a </w:t>
      </w:r>
      <w:r w:rsidRPr="000B7DBC">
        <w:rPr>
          <w:rFonts w:ascii="Arial" w:hAnsi="Arial" w:cs="Arial"/>
          <w:bCs/>
          <w:color w:val="000000"/>
          <w:sz w:val="22"/>
          <w:szCs w:val="22"/>
          <w:lang w:val="fr-FR"/>
        </w:rPr>
        <w:t>de la loi modifiée du 16 octobre 1934 concernant l’impôt sur la fortune</w:t>
      </w:r>
      <w:r w:rsidRPr="000B7DBC">
        <w:rPr>
          <w:rFonts w:ascii="Arial" w:hAnsi="Arial" w:cs="Arial"/>
          <w:sz w:val="22"/>
          <w:szCs w:val="22"/>
          <w:lang w:val="fr-FR"/>
        </w:rPr>
        <w:t xml:space="preserve"> (“</w:t>
      </w:r>
      <w:r w:rsidRPr="000B7DBC">
        <w:rPr>
          <w:rFonts w:ascii="Arial" w:hAnsi="Arial" w:cs="Arial"/>
          <w:bCs/>
          <w:i/>
          <w:iCs/>
          <w:sz w:val="22"/>
          <w:szCs w:val="22"/>
          <w:lang w:val="fr-FR"/>
        </w:rPr>
        <w:t>Kürzung</w:t>
      </w:r>
      <w:r w:rsidR="002C12BB">
        <w:rPr>
          <w:rFonts w:ascii="Arial" w:hAnsi="Arial" w:cs="Arial"/>
          <w:bCs/>
          <w:i/>
          <w:iCs/>
          <w:sz w:val="22"/>
          <w:szCs w:val="22"/>
          <w:lang w:val="fr-FR"/>
        </w:rPr>
        <w:t xml:space="preserve"> </w:t>
      </w:r>
      <w:r w:rsidRPr="000B7DBC">
        <w:rPr>
          <w:rFonts w:ascii="Arial" w:hAnsi="Arial" w:cs="Arial"/>
          <w:bCs/>
          <w:i/>
          <w:iCs/>
          <w:sz w:val="22"/>
          <w:szCs w:val="22"/>
          <w:lang w:val="fr-FR"/>
        </w:rPr>
        <w:t>bei</w:t>
      </w:r>
      <w:r w:rsidR="002C12BB">
        <w:rPr>
          <w:rFonts w:ascii="Arial" w:hAnsi="Arial" w:cs="Arial"/>
          <w:bCs/>
          <w:i/>
          <w:iCs/>
          <w:sz w:val="22"/>
          <w:szCs w:val="22"/>
          <w:lang w:val="fr-FR"/>
        </w:rPr>
        <w:t xml:space="preserve"> </w:t>
      </w:r>
      <w:r w:rsidRPr="000B7DBC">
        <w:rPr>
          <w:rFonts w:ascii="Arial" w:hAnsi="Arial" w:cs="Arial"/>
          <w:bCs/>
          <w:i/>
          <w:iCs/>
          <w:sz w:val="22"/>
          <w:szCs w:val="22"/>
          <w:lang w:val="fr-FR"/>
        </w:rPr>
        <w:lastRenderedPageBreak/>
        <w:t>Kapitalgesellschaften”</w:t>
      </w:r>
      <w:r w:rsidRPr="000B7DBC">
        <w:rPr>
          <w:rFonts w:ascii="Arial" w:hAnsi="Arial" w:cs="Arial"/>
          <w:sz w:val="22"/>
          <w:szCs w:val="22"/>
          <w:lang w:val="fr-FR"/>
        </w:rPr>
        <w:t>) et d’accélérer ainsi le processus d’imposition. Les procédures de l’échéance, de la fixation des avances et du décompte en matière de l’impôt sur la fortune sont revues et adaptées. Enfin, le texte proposé comporte des modifications ponctuelles d’ordre technique aux textes légaux régissant la prescription (</w:t>
      </w:r>
      <w:r w:rsidRPr="000B7DBC">
        <w:rPr>
          <w:rFonts w:ascii="Arial" w:hAnsi="Arial" w:cs="Arial"/>
          <w:bCs/>
          <w:color w:val="000000"/>
          <w:sz w:val="22"/>
          <w:szCs w:val="22"/>
          <w:lang w:val="fr-FR"/>
        </w:rPr>
        <w:t>loi modifiée du 22 décembre 1951 portant prorogation du délai de prescription de certains impôts directs et précision des conditions dans lesquelles les prescriptions fiscales peuvent être interrompues)</w:t>
      </w:r>
      <w:r w:rsidRPr="000B7DBC">
        <w:rPr>
          <w:rFonts w:ascii="Arial" w:hAnsi="Arial" w:cs="Arial"/>
          <w:sz w:val="22"/>
          <w:szCs w:val="22"/>
          <w:lang w:val="fr-FR"/>
        </w:rPr>
        <w:t xml:space="preserve"> et le recouvrement des impôts (</w:t>
      </w:r>
      <w:r w:rsidRPr="000B7DBC">
        <w:rPr>
          <w:rFonts w:ascii="Arial" w:hAnsi="Arial" w:cs="Arial"/>
          <w:bCs/>
          <w:color w:val="000000"/>
          <w:sz w:val="22"/>
          <w:szCs w:val="22"/>
          <w:lang w:val="fr-FR"/>
        </w:rPr>
        <w:t>loi modifiée du 27 novembre 1933 concernant le recouvrement des contributions directes, des droits d’accise sur l’eau-de-vie et des cotisations d’assurance sociale).</w:t>
      </w:r>
    </w:p>
    <w:p w:rsidR="002A34AF" w:rsidRDefault="002A34AF" w:rsidP="004C6339">
      <w:pPr>
        <w:jc w:val="center"/>
        <w:rPr>
          <w:rFonts w:ascii="Arial" w:hAnsi="Arial" w:cs="Arial"/>
          <w:b/>
          <w:sz w:val="22"/>
          <w:szCs w:val="22"/>
          <w:lang w:val="fr-FR"/>
        </w:rPr>
      </w:pPr>
    </w:p>
    <w:p w:rsidR="002A34AF" w:rsidRDefault="002A34AF" w:rsidP="004C6339">
      <w:pPr>
        <w:jc w:val="center"/>
        <w:rPr>
          <w:rFonts w:ascii="Arial" w:hAnsi="Arial" w:cs="Arial"/>
          <w:b/>
          <w:sz w:val="22"/>
          <w:szCs w:val="22"/>
          <w:lang w:val="fr-FR"/>
        </w:rPr>
      </w:pPr>
    </w:p>
    <w:p w:rsidR="00ED4B0F" w:rsidRPr="00B512F6" w:rsidRDefault="00ED4B0F" w:rsidP="004C6339">
      <w:pPr>
        <w:rPr>
          <w:lang w:val="fr-LU"/>
        </w:rPr>
      </w:pPr>
    </w:p>
    <w:sectPr w:rsidR="00ED4B0F" w:rsidRPr="00B512F6" w:rsidSect="00BB2257">
      <w:headerReference w:type="even" r:id="rId6"/>
      <w:footerReference w:type="default" r:id="rId7"/>
      <w:pgSz w:w="11900" w:h="16840"/>
      <w:pgMar w:top="1440" w:right="1800" w:bottom="1440" w:left="1800" w:header="708" w:footer="70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257" w:rsidRDefault="00BB2257" w:rsidP="00CE61E9">
      <w:r>
        <w:separator/>
      </w:r>
    </w:p>
  </w:endnote>
  <w:endnote w:type="continuationSeparator" w:id="0">
    <w:p w:rsidR="00BB2257" w:rsidRDefault="00BB2257" w:rsidP="00CE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20007A87" w:usb1="80000000" w:usb2="00000008" w:usb3="00000000" w:csb0="000001FF" w:csb1="00000000"/>
  </w:font>
  <w:font w:name="Swis721 B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257" w:rsidRDefault="00763704">
    <w:pPr>
      <w:pStyle w:val="Pieddepage"/>
      <w:jc w:val="center"/>
    </w:pPr>
    <w:r w:rsidRPr="00275965">
      <w:rPr>
        <w:rFonts w:ascii="Arial" w:hAnsi="Arial" w:cs="Arial"/>
      </w:rPr>
      <w:fldChar w:fldCharType="begin"/>
    </w:r>
    <w:r w:rsidR="002A34AF" w:rsidRPr="00275965">
      <w:rPr>
        <w:rFonts w:ascii="Arial" w:hAnsi="Arial" w:cs="Arial"/>
      </w:rPr>
      <w:instrText xml:space="preserve"> PAGE   \* MERGEFORMAT </w:instrText>
    </w:r>
    <w:r w:rsidRPr="00275965">
      <w:rPr>
        <w:rFonts w:ascii="Arial" w:hAnsi="Arial" w:cs="Arial"/>
      </w:rPr>
      <w:fldChar w:fldCharType="separate"/>
    </w:r>
    <w:r w:rsidR="00B512F6">
      <w:rPr>
        <w:rFonts w:ascii="Arial" w:hAnsi="Arial" w:cs="Arial"/>
        <w:noProof/>
      </w:rPr>
      <w:t>2</w:t>
    </w:r>
    <w:r w:rsidRPr="00275965">
      <w:rPr>
        <w:rFonts w:ascii="Arial" w:hAnsi="Arial" w:cs="Arial"/>
      </w:rPr>
      <w:fldChar w:fldCharType="end"/>
    </w:r>
  </w:p>
  <w:p w:rsidR="00BB2257" w:rsidRDefault="00BB2257">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257" w:rsidRDefault="00BB2257" w:rsidP="00CE61E9">
      <w:r>
        <w:separator/>
      </w:r>
    </w:p>
  </w:footnote>
  <w:footnote w:type="continuationSeparator" w:id="0">
    <w:p w:rsidR="00BB2257" w:rsidRDefault="00BB2257" w:rsidP="00CE61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257" w:rsidRDefault="00763704" w:rsidP="00BB2257">
    <w:pPr>
      <w:pStyle w:val="En-tte"/>
      <w:framePr w:wrap="around" w:vAnchor="text" w:hAnchor="margin" w:xAlign="center" w:y="1"/>
      <w:rPr>
        <w:rStyle w:val="Numrodepage"/>
      </w:rPr>
    </w:pPr>
    <w:r>
      <w:rPr>
        <w:rStyle w:val="Numrodepage"/>
      </w:rPr>
      <w:fldChar w:fldCharType="begin"/>
    </w:r>
    <w:r w:rsidR="002A34AF">
      <w:rPr>
        <w:rStyle w:val="Numrodepage"/>
      </w:rPr>
      <w:instrText xml:space="preserve">PAGE  </w:instrText>
    </w:r>
    <w:r>
      <w:rPr>
        <w:rStyle w:val="Numrodepage"/>
      </w:rPr>
      <w:fldChar w:fldCharType="separate"/>
    </w:r>
    <w:r w:rsidR="002A34AF">
      <w:rPr>
        <w:rStyle w:val="Numrodepage"/>
        <w:noProof/>
      </w:rPr>
      <w:t>3</w:t>
    </w:r>
    <w:r>
      <w:rPr>
        <w:rStyle w:val="Numrodepage"/>
      </w:rPr>
      <w:fldChar w:fldCharType="end"/>
    </w:r>
  </w:p>
  <w:p w:rsidR="00BB2257" w:rsidRDefault="00BB225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34AF"/>
    <w:rsid w:val="00026983"/>
    <w:rsid w:val="000402A6"/>
    <w:rsid w:val="000577FB"/>
    <w:rsid w:val="000F7E79"/>
    <w:rsid w:val="002A34AF"/>
    <w:rsid w:val="002C12BB"/>
    <w:rsid w:val="003D259E"/>
    <w:rsid w:val="0049199F"/>
    <w:rsid w:val="004C6339"/>
    <w:rsid w:val="005D0028"/>
    <w:rsid w:val="006849B1"/>
    <w:rsid w:val="00763704"/>
    <w:rsid w:val="007C2F49"/>
    <w:rsid w:val="00882513"/>
    <w:rsid w:val="009932A1"/>
    <w:rsid w:val="009C018F"/>
    <w:rsid w:val="009C023A"/>
    <w:rsid w:val="009D6BD2"/>
    <w:rsid w:val="00B36402"/>
    <w:rsid w:val="00B512F6"/>
    <w:rsid w:val="00B75CD2"/>
    <w:rsid w:val="00BB2257"/>
    <w:rsid w:val="00CE61E9"/>
    <w:rsid w:val="00ED4B0F"/>
    <w:rsid w:val="00F3604B"/>
  </w:rsids>
  <m:mathPr>
    <m:mathFont m:val="Cambria Math"/>
    <m:brkBin m:val="before"/>
    <m:brkBinSub m:val="--"/>
    <m:smallFrac/>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15:chartTrackingRefBased/>
  <w15:docId w15:val="{0805447F-C1E9-4105-B14E-5DCE25859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4AF"/>
    <w:rPr>
      <w:rFonts w:eastAsia="Cambria"/>
      <w:sz w:val="24"/>
      <w:szCs w:val="24"/>
      <w:lang w:val="de-DE" w:eastAsia="en-US"/>
    </w:rPr>
  </w:style>
  <w:style w:type="paragraph" w:styleId="Titre1">
    <w:name w:val="heading 1"/>
    <w:basedOn w:val="Normal"/>
    <w:link w:val="Titre1Car"/>
    <w:uiPriority w:val="9"/>
    <w:qFormat/>
    <w:rsid w:val="002A34AF"/>
    <w:pPr>
      <w:spacing w:before="100" w:beforeAutospacing="1" w:after="100" w:afterAutospacing="1"/>
      <w:outlineLvl w:val="0"/>
    </w:pPr>
    <w:rPr>
      <w:rFonts w:ascii="Times" w:hAnsi="Times"/>
      <w:b/>
      <w:bCs/>
      <w:kern w:val="36"/>
      <w:sz w:val="48"/>
      <w:szCs w:val="4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A34AF"/>
    <w:rPr>
      <w:rFonts w:ascii="Times" w:eastAsia="Cambria" w:hAnsi="Times" w:cs="Times New Roman"/>
      <w:b/>
      <w:bCs/>
      <w:kern w:val="36"/>
      <w:sz w:val="48"/>
      <w:szCs w:val="48"/>
    </w:rPr>
  </w:style>
  <w:style w:type="paragraph" w:styleId="En-tte">
    <w:name w:val="header"/>
    <w:basedOn w:val="Normal"/>
    <w:link w:val="En-tteCar"/>
    <w:uiPriority w:val="99"/>
    <w:semiHidden/>
    <w:unhideWhenUsed/>
    <w:rsid w:val="002A34AF"/>
    <w:pPr>
      <w:tabs>
        <w:tab w:val="center" w:pos="4320"/>
        <w:tab w:val="right" w:pos="8640"/>
      </w:tabs>
    </w:pPr>
    <w:rPr>
      <w:sz w:val="20"/>
      <w:szCs w:val="20"/>
    </w:rPr>
  </w:style>
  <w:style w:type="character" w:customStyle="1" w:styleId="En-tteCar">
    <w:name w:val="En-tête Car"/>
    <w:basedOn w:val="Policepardfaut"/>
    <w:link w:val="En-tte"/>
    <w:uiPriority w:val="99"/>
    <w:semiHidden/>
    <w:rsid w:val="002A34AF"/>
    <w:rPr>
      <w:rFonts w:ascii="Cambria" w:eastAsia="Cambria" w:hAnsi="Cambria" w:cs="Times New Roman"/>
      <w:sz w:val="20"/>
      <w:szCs w:val="20"/>
      <w:lang w:val="de-DE"/>
    </w:rPr>
  </w:style>
  <w:style w:type="character" w:styleId="Numrodepage">
    <w:name w:val="page number"/>
    <w:basedOn w:val="Policepardfaut"/>
    <w:uiPriority w:val="99"/>
    <w:semiHidden/>
    <w:unhideWhenUsed/>
    <w:rsid w:val="002A34AF"/>
  </w:style>
  <w:style w:type="paragraph" w:styleId="Pieddepage">
    <w:name w:val="footer"/>
    <w:basedOn w:val="Normal"/>
    <w:link w:val="PieddepageCar"/>
    <w:uiPriority w:val="99"/>
    <w:unhideWhenUsed/>
    <w:rsid w:val="002A34AF"/>
    <w:pPr>
      <w:tabs>
        <w:tab w:val="center" w:pos="4320"/>
        <w:tab w:val="right" w:pos="8640"/>
      </w:tabs>
    </w:pPr>
    <w:rPr>
      <w:sz w:val="20"/>
      <w:szCs w:val="20"/>
    </w:rPr>
  </w:style>
  <w:style w:type="character" w:customStyle="1" w:styleId="PieddepageCar">
    <w:name w:val="Pied de page Car"/>
    <w:basedOn w:val="Policepardfaut"/>
    <w:link w:val="Pieddepage"/>
    <w:uiPriority w:val="99"/>
    <w:rsid w:val="002A34AF"/>
    <w:rPr>
      <w:rFonts w:ascii="Cambria" w:eastAsia="Cambria" w:hAnsi="Cambria" w:cs="Times New Roman"/>
      <w:sz w:val="20"/>
      <w:szCs w:val="20"/>
      <w:lang w:val="de-DE"/>
    </w:rPr>
  </w:style>
  <w:style w:type="paragraph" w:customStyle="1" w:styleId="Pa10">
    <w:name w:val="Pa10"/>
    <w:basedOn w:val="Normal"/>
    <w:next w:val="Normal"/>
    <w:uiPriority w:val="99"/>
    <w:rsid w:val="002A34AF"/>
    <w:pPr>
      <w:autoSpaceDE w:val="0"/>
      <w:autoSpaceDN w:val="0"/>
      <w:adjustRightInd w:val="0"/>
      <w:spacing w:line="201" w:lineRule="atLeast"/>
    </w:pPr>
    <w:rPr>
      <w:rFonts w:ascii="Swis721 BT" w:hAnsi="Swis721 BT"/>
      <w:lang w:val="fr-LU"/>
    </w:rPr>
  </w:style>
  <w:style w:type="paragraph" w:customStyle="1" w:styleId="Default">
    <w:name w:val="Default"/>
    <w:rsid w:val="002A34AF"/>
    <w:pPr>
      <w:autoSpaceDE w:val="0"/>
      <w:autoSpaceDN w:val="0"/>
      <w:adjustRightInd w:val="0"/>
    </w:pPr>
    <w:rPr>
      <w:rFonts w:ascii="Swis721 BT" w:eastAsia="Calibri" w:hAnsi="Swis721 BT" w:cs="Swis721 BT"/>
      <w:color w:val="000000"/>
      <w:sz w:val="24"/>
      <w:szCs w:val="24"/>
    </w:rPr>
  </w:style>
  <w:style w:type="paragraph" w:customStyle="1" w:styleId="Pa5">
    <w:name w:val="Pa5"/>
    <w:basedOn w:val="Default"/>
    <w:next w:val="Default"/>
    <w:uiPriority w:val="99"/>
    <w:rsid w:val="002A34AF"/>
    <w:pPr>
      <w:spacing w:line="201" w:lineRule="atLeast"/>
    </w:pPr>
    <w:rPr>
      <w:rFonts w:cs="Times New Roman"/>
      <w:color w:val="auto"/>
      <w:lang w:eastAsia="en-US"/>
    </w:rPr>
  </w:style>
  <w:style w:type="paragraph" w:customStyle="1" w:styleId="Pa11">
    <w:name w:val="Pa11"/>
    <w:basedOn w:val="Default"/>
    <w:next w:val="Default"/>
    <w:uiPriority w:val="99"/>
    <w:rsid w:val="002A34AF"/>
    <w:pPr>
      <w:spacing w:line="201" w:lineRule="atLeast"/>
    </w:pPr>
    <w:rPr>
      <w:rFonts w:ascii="Times New Roman" w:eastAsia="Cambria" w:hAnsi="Times New Roman" w:cs="Times New Roman"/>
      <w:color w:val="auto"/>
      <w:lang w:eastAsia="en-US"/>
    </w:rPr>
  </w:style>
  <w:style w:type="paragraph" w:customStyle="1" w:styleId="BodyText21">
    <w:name w:val="Body Text 21"/>
    <w:basedOn w:val="Normal"/>
    <w:rsid w:val="002A34AF"/>
    <w:pPr>
      <w:widowControl w:val="0"/>
      <w:tabs>
        <w:tab w:val="left" w:pos="0"/>
      </w:tabs>
      <w:suppressAutoHyphens/>
      <w:overflowPunct w:val="0"/>
      <w:autoSpaceDE w:val="0"/>
      <w:autoSpaceDN w:val="0"/>
      <w:adjustRightInd w:val="0"/>
      <w:jc w:val="both"/>
      <w:textAlignment w:val="baseline"/>
    </w:pPr>
    <w:rPr>
      <w:rFonts w:ascii="Helvetica" w:eastAsia="Times New Roman" w:hAnsi="Helvetica"/>
      <w:spacing w:val="-3"/>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DP6706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6706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/sftpecos/Dossiers_parlementaires/6706/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3732C3D-8413-434E-B6FA-8BA4E23D8D03}"/>
</file>

<file path=customXml/itemProps2.xml><?xml version="1.0" encoding="utf-8"?>
<ds:datastoreItem xmlns:ds="http://schemas.openxmlformats.org/officeDocument/2006/customXml" ds:itemID="{8469A1E4-138E-4F3F-B2E7-03AF7D2AA5C1}"/>
</file>

<file path=customXml/itemProps3.xml><?xml version="1.0" encoding="utf-8"?>
<ds:datastoreItem xmlns:ds="http://schemas.openxmlformats.org/officeDocument/2006/customXml" ds:itemID="{FED66F06-909E-4A65-85AF-AB013B5C315D}"/>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3994</Characters>
  <Application>Microsoft Office Word</Application>
  <DocSecurity>4</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Groupe Parlementaire DP</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Ben Jacoby</dc:creator>
  <cp:keywords/>
  <cp:lastModifiedBy>SYSTEM</cp:lastModifiedBy>
  <cp:revision>2</cp:revision>
  <dcterms:created xsi:type="dcterms:W3CDTF">2024-02-21T07:49:00Z</dcterms:created>
  <dcterms:modified xsi:type="dcterms:W3CDTF">2024-02-21T07:49:00Z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