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BD" w:rsidRDefault="00B61FBD" w:rsidP="00B61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fr-LU" w:eastAsia="fr-LU"/>
        </w:rPr>
        <w:t xml:space="preserve">Résumé 6700 </w:t>
      </w:r>
    </w:p>
    <w:p w:rsidR="00B61FBD" w:rsidRDefault="00B61FBD" w:rsidP="00B61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1832DD" w:rsidRPr="00B61FBD" w:rsidRDefault="00B61FBD" w:rsidP="00B61FB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61FBD">
        <w:rPr>
          <w:rFonts w:ascii="Arial" w:hAnsi="Arial" w:cs="Arial"/>
          <w:sz w:val="22"/>
          <w:szCs w:val="22"/>
          <w:lang w:val="fr-LU" w:eastAsia="fr-LU"/>
        </w:rPr>
        <w:t>Le projet de loi 6700 a pour objet d’approuver l’Amendement au Protocole de Kyoto à la Convention-cadre des Nations Unies sur les changements climatiques, adopté à Doha le 8 décembre 2012. Cet Amendement instaure la deuxième période d’engagement du protocole de Kyoto, qui débute le 1</w:t>
      </w:r>
      <w:r w:rsidRPr="00B61FBD">
        <w:rPr>
          <w:rFonts w:ascii="Arial" w:hAnsi="Arial" w:cs="Arial"/>
          <w:sz w:val="22"/>
          <w:szCs w:val="22"/>
          <w:vertAlign w:val="superscript"/>
          <w:lang w:val="fr-LU" w:eastAsia="fr-LU"/>
        </w:rPr>
        <w:t>er</w:t>
      </w:r>
      <w:r w:rsidRPr="00B61FBD">
        <w:rPr>
          <w:rFonts w:ascii="Arial" w:hAnsi="Arial" w:cs="Arial"/>
          <w:sz w:val="22"/>
          <w:szCs w:val="22"/>
          <w:lang w:val="fr-LU" w:eastAsia="fr-LU"/>
        </w:rPr>
        <w:t xml:space="preserve"> janvier 2013 et se termine le 31 décembre 2020. L’Amendement renouvelle et modifie donc pour une deuxième période les engagements quantifiés de réduction des émissions de gaz à effet de serre. Les pays développés parties au Protocole s’étaient engagés à respecter ces obligations pour la première période d’engagement, du 1er janvier 2008 au 31 décembre 2012. L’objectif global de réduction d’au moins 5% par rapport au niveau de 1990 de la première période passe à 18% pour la deuxième période. Dans le cadre de l’Amendement, l’Union Européenne et ses Etats membres s’engagent à une réduction de 20% par rapport aux niveaux de 1990.</w:t>
      </w:r>
    </w:p>
    <w:sectPr w:rsidR="001832DD" w:rsidRPr="00B61FB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FBD"/>
    <w:rsid w:val="001832DD"/>
    <w:rsid w:val="002551C0"/>
    <w:rsid w:val="005621DA"/>
    <w:rsid w:val="0056693C"/>
    <w:rsid w:val="008834CA"/>
    <w:rsid w:val="00B61FBD"/>
    <w:rsid w:val="00C62719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CA6728-1727-4066-8865-C7AD8CA9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C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DP6700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6700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/sftpecos/Dossiers_parlementaires/6700/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257330D-4AA1-41EE-AFAC-C87206B21E52}"/>
</file>

<file path=customXml/itemProps2.xml><?xml version="1.0" encoding="utf-8"?>
<ds:datastoreItem xmlns:ds="http://schemas.openxmlformats.org/officeDocument/2006/customXml" ds:itemID="{B996E564-A8F9-41E1-BE8B-16C31A5977B8}"/>
</file>

<file path=customXml/itemProps3.xml><?xml version="1.0" encoding="utf-8"?>
<ds:datastoreItem xmlns:ds="http://schemas.openxmlformats.org/officeDocument/2006/customXml" ds:itemID="{C164E2C3-F252-47F8-9455-C329A0EFF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