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BC" w:rsidRPr="006111BC" w:rsidRDefault="006111BC" w:rsidP="006111BC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6111BC">
        <w:rPr>
          <w:b/>
          <w:sz w:val="24"/>
          <w:szCs w:val="24"/>
          <w:u w:val="single"/>
        </w:rPr>
        <w:t>6697 : résumé</w:t>
      </w:r>
    </w:p>
    <w:p w:rsidR="006111BC" w:rsidRDefault="006111BC" w:rsidP="006111BC">
      <w:pPr>
        <w:jc w:val="both"/>
        <w:rPr>
          <w:sz w:val="24"/>
          <w:szCs w:val="24"/>
        </w:rPr>
      </w:pPr>
    </w:p>
    <w:p w:rsidR="006111BC" w:rsidRDefault="006111BC" w:rsidP="006111BC">
      <w:pPr>
        <w:jc w:val="both"/>
        <w:rPr>
          <w:sz w:val="24"/>
          <w:szCs w:val="24"/>
        </w:rPr>
      </w:pPr>
      <w:r w:rsidRPr="0082040F">
        <w:rPr>
          <w:sz w:val="24"/>
          <w:szCs w:val="24"/>
        </w:rPr>
        <w:t xml:space="preserve">Le projet de loi </w:t>
      </w:r>
      <w:r>
        <w:rPr>
          <w:sz w:val="24"/>
          <w:szCs w:val="24"/>
        </w:rPr>
        <w:t xml:space="preserve">n°6697 </w:t>
      </w:r>
      <w:r w:rsidRPr="0082040F">
        <w:rPr>
          <w:sz w:val="24"/>
          <w:szCs w:val="24"/>
        </w:rPr>
        <w:t xml:space="preserve">a pour objet d’autoriser la dépense d’investissement requise pour équiper les neuf premiers immeubles de la Cité des Sciences destinés à accueillir sur le site de Belval les activités d’enseignement et de recherche ainsi que les services d’administration et d’encadrement social de l’Université du Luxembourg. </w:t>
      </w:r>
      <w:r>
        <w:rPr>
          <w:sz w:val="24"/>
          <w:szCs w:val="24"/>
        </w:rPr>
        <w:t>Dans ce contexte, il faut noter que</w:t>
      </w:r>
      <w:r w:rsidRPr="0082040F">
        <w:rPr>
          <w:sz w:val="24"/>
          <w:szCs w:val="24"/>
        </w:rPr>
        <w:t xml:space="preserve"> différentes parties des immeubles en question seront occupées par d’autres établissements tels le CEPS/</w:t>
      </w:r>
      <w:proofErr w:type="spellStart"/>
      <w:r w:rsidRPr="0082040F">
        <w:rPr>
          <w:sz w:val="24"/>
          <w:szCs w:val="24"/>
        </w:rPr>
        <w:t>Instead</w:t>
      </w:r>
      <w:proofErr w:type="spellEnd"/>
      <w:r w:rsidRPr="0082040F">
        <w:rPr>
          <w:sz w:val="24"/>
          <w:szCs w:val="24"/>
        </w:rPr>
        <w:t xml:space="preserve">, le Fonds national de la recherche, la Fondation </w:t>
      </w:r>
      <w:proofErr w:type="spellStart"/>
      <w:r w:rsidRPr="0082040F">
        <w:rPr>
          <w:sz w:val="24"/>
          <w:szCs w:val="24"/>
        </w:rPr>
        <w:t>Restena</w:t>
      </w:r>
      <w:proofErr w:type="spellEnd"/>
      <w:r w:rsidRPr="0082040F">
        <w:rPr>
          <w:sz w:val="24"/>
          <w:szCs w:val="24"/>
        </w:rPr>
        <w:t xml:space="preserve">, le Centre de recherche public Henri Tudor/Gabriel Lippmann, </w:t>
      </w:r>
      <w:proofErr w:type="spellStart"/>
      <w:r w:rsidRPr="0082040F">
        <w:rPr>
          <w:sz w:val="24"/>
          <w:szCs w:val="24"/>
        </w:rPr>
        <w:t>Luxinnovation</w:t>
      </w:r>
      <w:proofErr w:type="spellEnd"/>
      <w:r w:rsidRPr="0082040F">
        <w:rPr>
          <w:sz w:val="24"/>
          <w:szCs w:val="24"/>
        </w:rPr>
        <w:t xml:space="preserve"> et le Centre de </w:t>
      </w:r>
      <w:r w:rsidRPr="004C16AE">
        <w:rPr>
          <w:sz w:val="24"/>
          <w:szCs w:val="24"/>
        </w:rPr>
        <w:t xml:space="preserve">Formation Professionnelle Continue Dr Robert </w:t>
      </w:r>
      <w:proofErr w:type="spellStart"/>
      <w:r w:rsidRPr="004C16AE">
        <w:rPr>
          <w:sz w:val="24"/>
          <w:szCs w:val="24"/>
        </w:rPr>
        <w:t>Widong</w:t>
      </w:r>
      <w:proofErr w:type="spellEnd"/>
      <w:r w:rsidRPr="004C16AE">
        <w:rPr>
          <w:sz w:val="24"/>
          <w:szCs w:val="24"/>
        </w:rPr>
        <w:t xml:space="preserve"> </w:t>
      </w:r>
      <w:proofErr w:type="spellStart"/>
      <w:r w:rsidRPr="004C16AE">
        <w:rPr>
          <w:sz w:val="24"/>
          <w:szCs w:val="24"/>
        </w:rPr>
        <w:t>asbl</w:t>
      </w:r>
      <w:proofErr w:type="spellEnd"/>
      <w:r w:rsidRPr="004C16AE">
        <w:rPr>
          <w:sz w:val="24"/>
          <w:szCs w:val="24"/>
        </w:rPr>
        <w:t>.</w:t>
      </w:r>
    </w:p>
    <w:p w:rsidR="006111BC" w:rsidRPr="004C16AE" w:rsidRDefault="006111BC" w:rsidP="006111BC">
      <w:pPr>
        <w:jc w:val="both"/>
        <w:rPr>
          <w:b/>
          <w:sz w:val="24"/>
          <w:szCs w:val="24"/>
        </w:rPr>
      </w:pPr>
    </w:p>
    <w:p w:rsidR="001832DD" w:rsidRPr="006111BC" w:rsidRDefault="006111BC" w:rsidP="006111BC">
      <w:pPr>
        <w:jc w:val="both"/>
      </w:pPr>
      <w:r>
        <w:rPr>
          <w:sz w:val="24"/>
          <w:szCs w:val="24"/>
        </w:rPr>
        <w:t>En raison du fait que le</w:t>
      </w:r>
      <w:r w:rsidRPr="004C16AE">
        <w:rPr>
          <w:sz w:val="24"/>
          <w:szCs w:val="24"/>
        </w:rPr>
        <w:t xml:space="preserve"> montant total des travaux à réaliser est estimé à 140.000.000 euros</w:t>
      </w:r>
      <w:r>
        <w:rPr>
          <w:sz w:val="24"/>
          <w:szCs w:val="24"/>
        </w:rPr>
        <w:t>, l</w:t>
      </w:r>
      <w:r w:rsidRPr="004C16AE">
        <w:rPr>
          <w:color w:val="000000"/>
          <w:sz w:val="24"/>
          <w:szCs w:val="24"/>
          <w:lang w:val="fr-LU" w:eastAsia="fr-LU"/>
        </w:rPr>
        <w:t>’autorisation du législateur pour procéder à ces travaux est requise en vertu de l’article 99 de la Constitution</w:t>
      </w:r>
      <w:r>
        <w:rPr>
          <w:color w:val="000000"/>
          <w:sz w:val="24"/>
          <w:szCs w:val="24"/>
          <w:lang w:val="fr-LU" w:eastAsia="fr-LU"/>
        </w:rPr>
        <w:t xml:space="preserve">. En effet, </w:t>
      </w:r>
      <w:r w:rsidRPr="004C16AE">
        <w:rPr>
          <w:color w:val="000000"/>
          <w:sz w:val="24"/>
          <w:szCs w:val="24"/>
          <w:lang w:val="fr-LU" w:eastAsia="fr-LU"/>
        </w:rPr>
        <w:t>ce montant dépasse le seuil de 40 millions d’euros prévu par l’article 80 de la loi modifiée du 8 juin 1999 sur le budget, la comptabilité et la trésorerie de l’Etat.</w:t>
      </w:r>
    </w:p>
    <w:sectPr w:rsidR="001832DD" w:rsidRPr="006111BC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1BC"/>
    <w:rsid w:val="0002569D"/>
    <w:rsid w:val="001832DD"/>
    <w:rsid w:val="0056693C"/>
    <w:rsid w:val="006111BC"/>
    <w:rsid w:val="006C460E"/>
    <w:rsid w:val="008834CA"/>
    <w:rsid w:val="00C76E87"/>
    <w:rsid w:val="00C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66FDC8-3CD7-4506-AA02-DCB28125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1BC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47D892C-187D-4DB8-84A5-33EBE1B8E3A0}"/>
</file>

<file path=customXml/itemProps2.xml><?xml version="1.0" encoding="utf-8"?>
<ds:datastoreItem xmlns:ds="http://schemas.openxmlformats.org/officeDocument/2006/customXml" ds:itemID="{2C0626AF-639B-4F18-B11B-838F42D54EE1}"/>
</file>

<file path=customXml/itemProps3.xml><?xml version="1.0" encoding="utf-8"?>
<ds:datastoreItem xmlns:ds="http://schemas.openxmlformats.org/officeDocument/2006/customXml" ds:itemID="{EBB24A2A-AA08-4DA3-BA7C-153FDE5E3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