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70" w:rsidRDefault="00AD2B70" w:rsidP="007A0929">
      <w:pPr>
        <w:autoSpaceDE w:val="0"/>
        <w:autoSpaceDN w:val="0"/>
        <w:adjustRightInd w:val="0"/>
        <w:jc w:val="both"/>
        <w:rPr>
          <w:rFonts w:ascii="Arial" w:hAnsi="Arial" w:cs="Arial"/>
          <w:sz w:val="22"/>
          <w:szCs w:val="22"/>
        </w:rPr>
      </w:pPr>
      <w:bookmarkStart w:id="0" w:name="_GoBack"/>
      <w:bookmarkEnd w:id="0"/>
      <w:r>
        <w:rPr>
          <w:rFonts w:ascii="Arial" w:hAnsi="Arial" w:cs="Arial"/>
          <w:sz w:val="22"/>
          <w:szCs w:val="22"/>
        </w:rPr>
        <w:t>6695 résumé :</w:t>
      </w:r>
    </w:p>
    <w:p w:rsidR="00AD2B70" w:rsidRDefault="00AD2B70" w:rsidP="007A0929">
      <w:pPr>
        <w:autoSpaceDE w:val="0"/>
        <w:autoSpaceDN w:val="0"/>
        <w:adjustRightInd w:val="0"/>
        <w:jc w:val="both"/>
        <w:rPr>
          <w:rFonts w:ascii="Arial" w:hAnsi="Arial" w:cs="Arial"/>
          <w:sz w:val="22"/>
          <w:szCs w:val="22"/>
        </w:rPr>
      </w:pPr>
    </w:p>
    <w:p w:rsidR="007A0929" w:rsidRPr="00045EAE" w:rsidRDefault="00AD2B70" w:rsidP="007A0929">
      <w:pPr>
        <w:autoSpaceDE w:val="0"/>
        <w:autoSpaceDN w:val="0"/>
        <w:adjustRightInd w:val="0"/>
        <w:jc w:val="both"/>
        <w:rPr>
          <w:color w:val="000000"/>
        </w:rPr>
      </w:pPr>
      <w:r>
        <w:rPr>
          <w:rFonts w:ascii="Arial" w:hAnsi="Arial" w:cs="Arial"/>
          <w:sz w:val="22"/>
          <w:szCs w:val="22"/>
        </w:rPr>
        <w:t>L</w:t>
      </w:r>
      <w:r w:rsidR="007A0929" w:rsidRPr="00045EAE">
        <w:rPr>
          <w:rFonts w:ascii="Arial" w:hAnsi="Arial" w:cs="Arial"/>
          <w:sz w:val="22"/>
          <w:szCs w:val="22"/>
        </w:rPr>
        <w:t xml:space="preserve">e projet prévoit le régime des sanctions applicables en cas de violation des dispositions du règlement (UE) n°181/2011, qui a pour </w:t>
      </w:r>
      <w:r w:rsidR="007A0929" w:rsidRPr="00045EAE">
        <w:rPr>
          <w:rFonts w:ascii="Arial" w:hAnsi="Arial" w:cs="Arial"/>
          <w:color w:val="000000"/>
          <w:sz w:val="22"/>
          <w:szCs w:val="22"/>
        </w:rPr>
        <w:t>objet la sauvegarde des droits des passagers dans le transport par autobus et autocar, notamment en matière de droit au transport pour les personnes handicapées ou à mobilité réduite, d’informations sur les tarifs, de disponibilité des billets et des réservations, d’indemnisation en cas de retard ou de perte de bagages. Alors que les auteurs du projet de loi avaient initialement prévu</w:t>
      </w:r>
      <w:r w:rsidR="007A0929" w:rsidRPr="006A6565">
        <w:rPr>
          <w:rFonts w:ascii="Arial" w:hAnsi="Arial" w:cs="Arial"/>
          <w:color w:val="000000"/>
          <w:sz w:val="22"/>
          <w:szCs w:val="22"/>
        </w:rPr>
        <w:t xml:space="preserve"> de faire adopter à la fois un projet de loi et un projet de règlement grand-ducal en la matière, le Conseil d’Etat a souhaité voir intégrées dans le projet de loi les dispositions du projet de règlement grand-ducal. C’est ainsi que le projet de loi </w:t>
      </w:r>
      <w:r w:rsidR="007A0929" w:rsidRPr="006A6565">
        <w:rPr>
          <w:rFonts w:ascii="Arial" w:hAnsi="Arial" w:cs="Arial"/>
          <w:sz w:val="22"/>
          <w:szCs w:val="22"/>
        </w:rPr>
        <w:t xml:space="preserve">reprend également les dispositions du projet de règlement grand-ducal </w:t>
      </w:r>
      <w:r w:rsidR="007A0929">
        <w:rPr>
          <w:rFonts w:ascii="Arial" w:hAnsi="Arial" w:cs="Arial"/>
          <w:sz w:val="22"/>
          <w:szCs w:val="22"/>
        </w:rPr>
        <w:t>et vise notamment à :</w:t>
      </w:r>
    </w:p>
    <w:p w:rsidR="007A0929" w:rsidRPr="006A6565" w:rsidRDefault="007A0929" w:rsidP="007A0929">
      <w:pPr>
        <w:numPr>
          <w:ilvl w:val="0"/>
          <w:numId w:val="1"/>
        </w:numPr>
        <w:tabs>
          <w:tab w:val="clear" w:pos="360"/>
        </w:tabs>
        <w:jc w:val="both"/>
        <w:rPr>
          <w:rFonts w:ascii="Arial" w:hAnsi="Arial" w:cs="Arial"/>
          <w:sz w:val="22"/>
          <w:szCs w:val="22"/>
          <w:lang w:val="fr-LU"/>
        </w:rPr>
      </w:pPr>
      <w:r w:rsidRPr="006A6565">
        <w:rPr>
          <w:rFonts w:ascii="Arial" w:hAnsi="Arial" w:cs="Arial"/>
          <w:sz w:val="22"/>
          <w:szCs w:val="22"/>
        </w:rPr>
        <w:t>désign</w:t>
      </w:r>
      <w:r>
        <w:rPr>
          <w:rFonts w:ascii="Arial" w:hAnsi="Arial" w:cs="Arial"/>
          <w:sz w:val="22"/>
          <w:szCs w:val="22"/>
        </w:rPr>
        <w:t>er</w:t>
      </w:r>
      <w:r w:rsidRPr="006A6565">
        <w:rPr>
          <w:rFonts w:ascii="Arial" w:hAnsi="Arial" w:cs="Arial"/>
          <w:sz w:val="22"/>
          <w:szCs w:val="22"/>
        </w:rPr>
        <w:t xml:space="preserve"> la Communauté des transports (</w:t>
      </w:r>
      <w:proofErr w:type="spellStart"/>
      <w:r w:rsidRPr="006A6565">
        <w:rPr>
          <w:rFonts w:ascii="Arial" w:hAnsi="Arial" w:cs="Arial"/>
          <w:sz w:val="22"/>
          <w:szCs w:val="22"/>
        </w:rPr>
        <w:t>C</w:t>
      </w:r>
      <w:r>
        <w:rPr>
          <w:rFonts w:ascii="Arial" w:hAnsi="Arial" w:cs="Arial"/>
          <w:sz w:val="22"/>
          <w:szCs w:val="22"/>
        </w:rPr>
        <w:t>d</w:t>
      </w:r>
      <w:r w:rsidRPr="006A6565">
        <w:rPr>
          <w:rFonts w:ascii="Arial" w:hAnsi="Arial" w:cs="Arial"/>
          <w:sz w:val="22"/>
          <w:szCs w:val="22"/>
        </w:rPr>
        <w:t>T</w:t>
      </w:r>
      <w:proofErr w:type="spellEnd"/>
      <w:r w:rsidRPr="006A6565">
        <w:rPr>
          <w:rFonts w:ascii="Arial" w:hAnsi="Arial" w:cs="Arial"/>
          <w:sz w:val="22"/>
          <w:szCs w:val="22"/>
        </w:rPr>
        <w:t xml:space="preserve">) </w:t>
      </w:r>
      <w:r>
        <w:rPr>
          <w:rFonts w:ascii="Arial" w:hAnsi="Arial" w:cs="Arial"/>
          <w:sz w:val="22"/>
          <w:szCs w:val="22"/>
        </w:rPr>
        <w:t xml:space="preserve">comme </w:t>
      </w:r>
      <w:r w:rsidRPr="006A6565">
        <w:rPr>
          <w:rFonts w:ascii="Arial" w:hAnsi="Arial" w:cs="Arial"/>
          <w:sz w:val="22"/>
          <w:szCs w:val="22"/>
        </w:rPr>
        <w:t xml:space="preserve">autorité compétente en matière de protection </w:t>
      </w:r>
      <w:r>
        <w:rPr>
          <w:rFonts w:ascii="Arial" w:hAnsi="Arial" w:cs="Arial"/>
          <w:sz w:val="22"/>
          <w:szCs w:val="22"/>
        </w:rPr>
        <w:t>des intérêts des consommateurs ;</w:t>
      </w:r>
    </w:p>
    <w:p w:rsidR="007A0929" w:rsidRPr="006A6565" w:rsidRDefault="007A0929" w:rsidP="007A0929">
      <w:pPr>
        <w:numPr>
          <w:ilvl w:val="0"/>
          <w:numId w:val="1"/>
        </w:numPr>
        <w:jc w:val="both"/>
        <w:rPr>
          <w:rFonts w:ascii="Arial" w:hAnsi="Arial" w:cs="Arial"/>
          <w:sz w:val="22"/>
          <w:szCs w:val="22"/>
          <w:lang w:val="fr-LU"/>
        </w:rPr>
      </w:pPr>
      <w:r w:rsidRPr="006A6565">
        <w:rPr>
          <w:rFonts w:ascii="Arial" w:hAnsi="Arial" w:cs="Arial"/>
          <w:sz w:val="22"/>
          <w:szCs w:val="22"/>
        </w:rPr>
        <w:t>donn</w:t>
      </w:r>
      <w:r>
        <w:rPr>
          <w:rFonts w:ascii="Arial" w:hAnsi="Arial" w:cs="Arial"/>
          <w:sz w:val="22"/>
          <w:szCs w:val="22"/>
        </w:rPr>
        <w:t>er</w:t>
      </w:r>
      <w:r w:rsidRPr="006A6565">
        <w:rPr>
          <w:rFonts w:ascii="Arial" w:hAnsi="Arial" w:cs="Arial"/>
          <w:sz w:val="22"/>
          <w:szCs w:val="22"/>
        </w:rPr>
        <w:t xml:space="preserve"> le pouvoir de s</w:t>
      </w:r>
      <w:r>
        <w:rPr>
          <w:rFonts w:ascii="Arial" w:hAnsi="Arial" w:cs="Arial"/>
          <w:sz w:val="22"/>
          <w:szCs w:val="22"/>
        </w:rPr>
        <w:t xml:space="preserve">anction administrative à la </w:t>
      </w:r>
      <w:proofErr w:type="spellStart"/>
      <w:r>
        <w:rPr>
          <w:rFonts w:ascii="Arial" w:hAnsi="Arial" w:cs="Arial"/>
          <w:sz w:val="22"/>
          <w:szCs w:val="22"/>
        </w:rPr>
        <w:t>CdT</w:t>
      </w:r>
      <w:proofErr w:type="spellEnd"/>
      <w:r>
        <w:rPr>
          <w:rFonts w:ascii="Arial" w:hAnsi="Arial" w:cs="Arial"/>
          <w:sz w:val="22"/>
          <w:szCs w:val="22"/>
        </w:rPr>
        <w:t> ;</w:t>
      </w:r>
    </w:p>
    <w:p w:rsidR="007A0929" w:rsidRPr="006A6565" w:rsidRDefault="007A0929" w:rsidP="007A0929">
      <w:pPr>
        <w:numPr>
          <w:ilvl w:val="0"/>
          <w:numId w:val="1"/>
        </w:numPr>
        <w:jc w:val="both"/>
        <w:rPr>
          <w:rFonts w:ascii="Arial" w:hAnsi="Arial" w:cs="Arial"/>
          <w:sz w:val="22"/>
          <w:szCs w:val="22"/>
          <w:lang w:val="fr-LU"/>
        </w:rPr>
      </w:pPr>
      <w:r w:rsidRPr="006A6565">
        <w:rPr>
          <w:rFonts w:ascii="Arial" w:hAnsi="Arial" w:cs="Arial"/>
          <w:sz w:val="22"/>
          <w:szCs w:val="22"/>
        </w:rPr>
        <w:t>défini</w:t>
      </w:r>
      <w:r>
        <w:rPr>
          <w:rFonts w:ascii="Arial" w:hAnsi="Arial" w:cs="Arial"/>
          <w:sz w:val="22"/>
          <w:szCs w:val="22"/>
        </w:rPr>
        <w:t>r</w:t>
      </w:r>
      <w:r w:rsidRPr="006A6565">
        <w:rPr>
          <w:rFonts w:ascii="Arial" w:hAnsi="Arial" w:cs="Arial"/>
          <w:sz w:val="22"/>
          <w:szCs w:val="22"/>
        </w:rPr>
        <w:t xml:space="preserve"> les sanctions</w:t>
      </w:r>
      <w:r>
        <w:rPr>
          <w:rFonts w:ascii="Arial" w:hAnsi="Arial" w:cs="Arial"/>
          <w:sz w:val="22"/>
          <w:szCs w:val="22"/>
        </w:rPr>
        <w:t> ;</w:t>
      </w:r>
    </w:p>
    <w:p w:rsidR="007A0929" w:rsidRPr="006A6565" w:rsidRDefault="007A0929" w:rsidP="007A0929">
      <w:pPr>
        <w:numPr>
          <w:ilvl w:val="0"/>
          <w:numId w:val="2"/>
        </w:numPr>
        <w:jc w:val="both"/>
        <w:rPr>
          <w:rFonts w:ascii="Arial" w:hAnsi="Arial" w:cs="Arial"/>
          <w:sz w:val="22"/>
          <w:szCs w:val="22"/>
          <w:lang w:val="fr-LU"/>
        </w:rPr>
      </w:pPr>
      <w:r w:rsidRPr="006A6565">
        <w:rPr>
          <w:rFonts w:ascii="Arial" w:hAnsi="Arial" w:cs="Arial"/>
          <w:sz w:val="22"/>
          <w:szCs w:val="22"/>
        </w:rPr>
        <w:t>demand</w:t>
      </w:r>
      <w:r>
        <w:rPr>
          <w:rFonts w:ascii="Arial" w:hAnsi="Arial" w:cs="Arial"/>
          <w:sz w:val="22"/>
          <w:szCs w:val="22"/>
        </w:rPr>
        <w:t>er</w:t>
      </w:r>
      <w:r w:rsidRPr="006A6565">
        <w:rPr>
          <w:rFonts w:ascii="Arial" w:hAnsi="Arial" w:cs="Arial"/>
          <w:sz w:val="22"/>
          <w:szCs w:val="22"/>
        </w:rPr>
        <w:t xml:space="preserve"> des dérogations aux dispositions du règlement européen, qui s’appliquent aux services réguliers de transport par autobus et autocar dont la distance parcourue est inférieure à 250 k</w:t>
      </w:r>
      <w:r>
        <w:rPr>
          <w:rFonts w:ascii="Arial" w:hAnsi="Arial" w:cs="Arial"/>
          <w:sz w:val="22"/>
          <w:szCs w:val="22"/>
        </w:rPr>
        <w:t>m ;</w:t>
      </w:r>
    </w:p>
    <w:p w:rsidR="007A0929" w:rsidRPr="006A6565" w:rsidRDefault="007A0929" w:rsidP="007A0929">
      <w:pPr>
        <w:numPr>
          <w:ilvl w:val="0"/>
          <w:numId w:val="2"/>
        </w:numPr>
        <w:jc w:val="both"/>
        <w:rPr>
          <w:rFonts w:ascii="Arial" w:hAnsi="Arial" w:cs="Arial"/>
          <w:sz w:val="22"/>
          <w:szCs w:val="22"/>
          <w:lang w:val="fr-LU"/>
        </w:rPr>
      </w:pPr>
      <w:r w:rsidRPr="006A6565">
        <w:rPr>
          <w:rFonts w:ascii="Arial" w:hAnsi="Arial" w:cs="Arial"/>
          <w:sz w:val="22"/>
          <w:szCs w:val="22"/>
        </w:rPr>
        <w:t xml:space="preserve">charger la </w:t>
      </w:r>
      <w:proofErr w:type="spellStart"/>
      <w:r w:rsidRPr="006A6565">
        <w:rPr>
          <w:rFonts w:ascii="Arial" w:hAnsi="Arial" w:cs="Arial"/>
          <w:sz w:val="22"/>
          <w:szCs w:val="22"/>
        </w:rPr>
        <w:t>C</w:t>
      </w:r>
      <w:r>
        <w:rPr>
          <w:rFonts w:ascii="Arial" w:hAnsi="Arial" w:cs="Arial"/>
          <w:sz w:val="22"/>
          <w:szCs w:val="22"/>
        </w:rPr>
        <w:t>d</w:t>
      </w:r>
      <w:r w:rsidRPr="006A6565">
        <w:rPr>
          <w:rFonts w:ascii="Arial" w:hAnsi="Arial" w:cs="Arial"/>
          <w:sz w:val="22"/>
          <w:szCs w:val="22"/>
        </w:rPr>
        <w:t>T</w:t>
      </w:r>
      <w:proofErr w:type="spellEnd"/>
      <w:r w:rsidRPr="006A6565">
        <w:rPr>
          <w:rFonts w:ascii="Arial" w:hAnsi="Arial" w:cs="Arial"/>
          <w:sz w:val="22"/>
          <w:szCs w:val="22"/>
        </w:rPr>
        <w:t xml:space="preserve"> de l’application d</w:t>
      </w:r>
      <w:r>
        <w:rPr>
          <w:rFonts w:ascii="Arial" w:hAnsi="Arial" w:cs="Arial"/>
          <w:sz w:val="22"/>
          <w:szCs w:val="22"/>
        </w:rPr>
        <w:t>e ces dispositions législatives</w:t>
      </w:r>
      <w:r w:rsidRPr="006A6565">
        <w:rPr>
          <w:rFonts w:ascii="Arial" w:hAnsi="Arial" w:cs="Arial"/>
          <w:sz w:val="22"/>
          <w:szCs w:val="22"/>
        </w:rPr>
        <w:t xml:space="preserve"> et lui conférer le droit d’agir en tant qu’instance de recours pour les plaintes de vo</w:t>
      </w:r>
      <w:r>
        <w:rPr>
          <w:rFonts w:ascii="Arial" w:hAnsi="Arial" w:cs="Arial"/>
          <w:sz w:val="22"/>
          <w:szCs w:val="22"/>
        </w:rPr>
        <w:t>yageurs n’ayant pas été réglées ;</w:t>
      </w:r>
    </w:p>
    <w:p w:rsidR="007A0929" w:rsidRPr="006A6565" w:rsidRDefault="007A0929" w:rsidP="007A0929">
      <w:pPr>
        <w:numPr>
          <w:ilvl w:val="0"/>
          <w:numId w:val="2"/>
        </w:numPr>
        <w:jc w:val="both"/>
        <w:rPr>
          <w:rFonts w:ascii="Arial" w:hAnsi="Arial" w:cs="Arial"/>
          <w:sz w:val="22"/>
          <w:szCs w:val="22"/>
          <w:lang w:val="fr-LU"/>
        </w:rPr>
      </w:pPr>
      <w:r w:rsidRPr="006A6565">
        <w:rPr>
          <w:rFonts w:ascii="Arial" w:hAnsi="Arial" w:cs="Arial"/>
          <w:sz w:val="22"/>
          <w:szCs w:val="22"/>
        </w:rPr>
        <w:t xml:space="preserve">intégrer les compétences attribuées </w:t>
      </w:r>
      <w:r>
        <w:rPr>
          <w:rFonts w:ascii="Arial" w:hAnsi="Arial" w:cs="Arial"/>
          <w:sz w:val="22"/>
          <w:szCs w:val="22"/>
        </w:rPr>
        <w:t xml:space="preserve">à </w:t>
      </w:r>
      <w:r w:rsidRPr="006A6565">
        <w:rPr>
          <w:rFonts w:ascii="Arial" w:hAnsi="Arial" w:cs="Arial"/>
          <w:sz w:val="22"/>
          <w:szCs w:val="22"/>
        </w:rPr>
        <w:t xml:space="preserve">la </w:t>
      </w:r>
      <w:proofErr w:type="spellStart"/>
      <w:r w:rsidRPr="006A6565">
        <w:rPr>
          <w:rFonts w:ascii="Arial" w:hAnsi="Arial" w:cs="Arial"/>
          <w:sz w:val="22"/>
          <w:szCs w:val="22"/>
        </w:rPr>
        <w:t>C</w:t>
      </w:r>
      <w:r>
        <w:rPr>
          <w:rFonts w:ascii="Arial" w:hAnsi="Arial" w:cs="Arial"/>
          <w:sz w:val="22"/>
          <w:szCs w:val="22"/>
        </w:rPr>
        <w:t>d</w:t>
      </w:r>
      <w:r w:rsidRPr="006A6565">
        <w:rPr>
          <w:rFonts w:ascii="Arial" w:hAnsi="Arial" w:cs="Arial"/>
          <w:sz w:val="22"/>
          <w:szCs w:val="22"/>
        </w:rPr>
        <w:t>T</w:t>
      </w:r>
      <w:proofErr w:type="spellEnd"/>
      <w:r w:rsidRPr="006A6565">
        <w:rPr>
          <w:rFonts w:ascii="Arial" w:hAnsi="Arial" w:cs="Arial"/>
          <w:sz w:val="22"/>
          <w:szCs w:val="22"/>
        </w:rPr>
        <w:t xml:space="preserve"> également dans les articles correspondants du Code de la consommation, ainsi que dans la loi sur les transports publics. </w:t>
      </w:r>
    </w:p>
    <w:p w:rsidR="001832DD" w:rsidRPr="007A0929" w:rsidRDefault="001832DD">
      <w:pPr>
        <w:rPr>
          <w:lang w:val="fr-LU"/>
        </w:rPr>
      </w:pPr>
    </w:p>
    <w:sectPr w:rsidR="001832DD" w:rsidRPr="007A0929"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3A8B"/>
    <w:multiLevelType w:val="hybridMultilevel"/>
    <w:tmpl w:val="5D18C764"/>
    <w:lvl w:ilvl="0" w:tplc="33B619F8">
      <w:numFmt w:val="bullet"/>
      <w:lvlText w:val="-"/>
      <w:lvlJc w:val="left"/>
      <w:pPr>
        <w:tabs>
          <w:tab w:val="num" w:pos="360"/>
        </w:tabs>
        <w:ind w:left="360" w:hanging="360"/>
      </w:pPr>
      <w:rPr>
        <w:rFonts w:ascii="Arial" w:eastAsia="Times New Roman" w:hAnsi="Arial" w:cs="Arial" w:hint="default"/>
      </w:rPr>
    </w:lvl>
    <w:lvl w:ilvl="1" w:tplc="4A46E1EA" w:tentative="1">
      <w:start w:val="1"/>
      <w:numFmt w:val="bullet"/>
      <w:lvlText w:val="•"/>
      <w:lvlJc w:val="left"/>
      <w:pPr>
        <w:tabs>
          <w:tab w:val="num" w:pos="1080"/>
        </w:tabs>
        <w:ind w:left="1080" w:hanging="360"/>
      </w:pPr>
      <w:rPr>
        <w:rFonts w:ascii="Times New Roman" w:hAnsi="Times New Roman" w:hint="default"/>
      </w:rPr>
    </w:lvl>
    <w:lvl w:ilvl="2" w:tplc="56E85A72" w:tentative="1">
      <w:start w:val="1"/>
      <w:numFmt w:val="bullet"/>
      <w:lvlText w:val="•"/>
      <w:lvlJc w:val="left"/>
      <w:pPr>
        <w:tabs>
          <w:tab w:val="num" w:pos="1800"/>
        </w:tabs>
        <w:ind w:left="1800" w:hanging="360"/>
      </w:pPr>
      <w:rPr>
        <w:rFonts w:ascii="Times New Roman" w:hAnsi="Times New Roman" w:hint="default"/>
      </w:rPr>
    </w:lvl>
    <w:lvl w:ilvl="3" w:tplc="53AEB05C" w:tentative="1">
      <w:start w:val="1"/>
      <w:numFmt w:val="bullet"/>
      <w:lvlText w:val="•"/>
      <w:lvlJc w:val="left"/>
      <w:pPr>
        <w:tabs>
          <w:tab w:val="num" w:pos="2520"/>
        </w:tabs>
        <w:ind w:left="2520" w:hanging="360"/>
      </w:pPr>
      <w:rPr>
        <w:rFonts w:ascii="Times New Roman" w:hAnsi="Times New Roman" w:hint="default"/>
      </w:rPr>
    </w:lvl>
    <w:lvl w:ilvl="4" w:tplc="52D8A510" w:tentative="1">
      <w:start w:val="1"/>
      <w:numFmt w:val="bullet"/>
      <w:lvlText w:val="•"/>
      <w:lvlJc w:val="left"/>
      <w:pPr>
        <w:tabs>
          <w:tab w:val="num" w:pos="3240"/>
        </w:tabs>
        <w:ind w:left="3240" w:hanging="360"/>
      </w:pPr>
      <w:rPr>
        <w:rFonts w:ascii="Times New Roman" w:hAnsi="Times New Roman" w:hint="default"/>
      </w:rPr>
    </w:lvl>
    <w:lvl w:ilvl="5" w:tplc="F272B5DC" w:tentative="1">
      <w:start w:val="1"/>
      <w:numFmt w:val="bullet"/>
      <w:lvlText w:val="•"/>
      <w:lvlJc w:val="left"/>
      <w:pPr>
        <w:tabs>
          <w:tab w:val="num" w:pos="3960"/>
        </w:tabs>
        <w:ind w:left="3960" w:hanging="360"/>
      </w:pPr>
      <w:rPr>
        <w:rFonts w:ascii="Times New Roman" w:hAnsi="Times New Roman" w:hint="default"/>
      </w:rPr>
    </w:lvl>
    <w:lvl w:ilvl="6" w:tplc="53F2C2E6" w:tentative="1">
      <w:start w:val="1"/>
      <w:numFmt w:val="bullet"/>
      <w:lvlText w:val="•"/>
      <w:lvlJc w:val="left"/>
      <w:pPr>
        <w:tabs>
          <w:tab w:val="num" w:pos="4680"/>
        </w:tabs>
        <w:ind w:left="4680" w:hanging="360"/>
      </w:pPr>
      <w:rPr>
        <w:rFonts w:ascii="Times New Roman" w:hAnsi="Times New Roman" w:hint="default"/>
      </w:rPr>
    </w:lvl>
    <w:lvl w:ilvl="7" w:tplc="A98A9024" w:tentative="1">
      <w:start w:val="1"/>
      <w:numFmt w:val="bullet"/>
      <w:lvlText w:val="•"/>
      <w:lvlJc w:val="left"/>
      <w:pPr>
        <w:tabs>
          <w:tab w:val="num" w:pos="5400"/>
        </w:tabs>
        <w:ind w:left="5400" w:hanging="360"/>
      </w:pPr>
      <w:rPr>
        <w:rFonts w:ascii="Times New Roman" w:hAnsi="Times New Roman" w:hint="default"/>
      </w:rPr>
    </w:lvl>
    <w:lvl w:ilvl="8" w:tplc="5268D1E2"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726A1F5B"/>
    <w:multiLevelType w:val="hybridMultilevel"/>
    <w:tmpl w:val="5F141F3A"/>
    <w:lvl w:ilvl="0" w:tplc="33B619F8">
      <w:numFmt w:val="bullet"/>
      <w:lvlText w:val="-"/>
      <w:lvlJc w:val="left"/>
      <w:pPr>
        <w:tabs>
          <w:tab w:val="num" w:pos="360"/>
        </w:tabs>
        <w:ind w:left="360" w:hanging="360"/>
      </w:pPr>
      <w:rPr>
        <w:rFonts w:ascii="Arial" w:eastAsia="Times New Roman" w:hAnsi="Arial" w:cs="Arial" w:hint="default"/>
      </w:rPr>
    </w:lvl>
    <w:lvl w:ilvl="1" w:tplc="9A2AC1F4" w:tentative="1">
      <w:start w:val="1"/>
      <w:numFmt w:val="bullet"/>
      <w:lvlText w:val="•"/>
      <w:lvlJc w:val="left"/>
      <w:pPr>
        <w:tabs>
          <w:tab w:val="num" w:pos="1080"/>
        </w:tabs>
        <w:ind w:left="1080" w:hanging="360"/>
      </w:pPr>
      <w:rPr>
        <w:rFonts w:ascii="Times New Roman" w:hAnsi="Times New Roman" w:hint="default"/>
      </w:rPr>
    </w:lvl>
    <w:lvl w:ilvl="2" w:tplc="6220F28E" w:tentative="1">
      <w:start w:val="1"/>
      <w:numFmt w:val="bullet"/>
      <w:lvlText w:val="•"/>
      <w:lvlJc w:val="left"/>
      <w:pPr>
        <w:tabs>
          <w:tab w:val="num" w:pos="1800"/>
        </w:tabs>
        <w:ind w:left="1800" w:hanging="360"/>
      </w:pPr>
      <w:rPr>
        <w:rFonts w:ascii="Times New Roman" w:hAnsi="Times New Roman" w:hint="default"/>
      </w:rPr>
    </w:lvl>
    <w:lvl w:ilvl="3" w:tplc="C64CF2EC" w:tentative="1">
      <w:start w:val="1"/>
      <w:numFmt w:val="bullet"/>
      <w:lvlText w:val="•"/>
      <w:lvlJc w:val="left"/>
      <w:pPr>
        <w:tabs>
          <w:tab w:val="num" w:pos="2520"/>
        </w:tabs>
        <w:ind w:left="2520" w:hanging="360"/>
      </w:pPr>
      <w:rPr>
        <w:rFonts w:ascii="Times New Roman" w:hAnsi="Times New Roman" w:hint="default"/>
      </w:rPr>
    </w:lvl>
    <w:lvl w:ilvl="4" w:tplc="D5E8ABC4" w:tentative="1">
      <w:start w:val="1"/>
      <w:numFmt w:val="bullet"/>
      <w:lvlText w:val="•"/>
      <w:lvlJc w:val="left"/>
      <w:pPr>
        <w:tabs>
          <w:tab w:val="num" w:pos="3240"/>
        </w:tabs>
        <w:ind w:left="3240" w:hanging="360"/>
      </w:pPr>
      <w:rPr>
        <w:rFonts w:ascii="Times New Roman" w:hAnsi="Times New Roman" w:hint="default"/>
      </w:rPr>
    </w:lvl>
    <w:lvl w:ilvl="5" w:tplc="2A0420DA" w:tentative="1">
      <w:start w:val="1"/>
      <w:numFmt w:val="bullet"/>
      <w:lvlText w:val="•"/>
      <w:lvlJc w:val="left"/>
      <w:pPr>
        <w:tabs>
          <w:tab w:val="num" w:pos="3960"/>
        </w:tabs>
        <w:ind w:left="3960" w:hanging="360"/>
      </w:pPr>
      <w:rPr>
        <w:rFonts w:ascii="Times New Roman" w:hAnsi="Times New Roman" w:hint="default"/>
      </w:rPr>
    </w:lvl>
    <w:lvl w:ilvl="6" w:tplc="906E46FE" w:tentative="1">
      <w:start w:val="1"/>
      <w:numFmt w:val="bullet"/>
      <w:lvlText w:val="•"/>
      <w:lvlJc w:val="left"/>
      <w:pPr>
        <w:tabs>
          <w:tab w:val="num" w:pos="4680"/>
        </w:tabs>
        <w:ind w:left="4680" w:hanging="360"/>
      </w:pPr>
      <w:rPr>
        <w:rFonts w:ascii="Times New Roman" w:hAnsi="Times New Roman" w:hint="default"/>
      </w:rPr>
    </w:lvl>
    <w:lvl w:ilvl="7" w:tplc="05A4AA40" w:tentative="1">
      <w:start w:val="1"/>
      <w:numFmt w:val="bullet"/>
      <w:lvlText w:val="•"/>
      <w:lvlJc w:val="left"/>
      <w:pPr>
        <w:tabs>
          <w:tab w:val="num" w:pos="5400"/>
        </w:tabs>
        <w:ind w:left="5400" w:hanging="360"/>
      </w:pPr>
      <w:rPr>
        <w:rFonts w:ascii="Times New Roman" w:hAnsi="Times New Roman" w:hint="default"/>
      </w:rPr>
    </w:lvl>
    <w:lvl w:ilvl="8" w:tplc="FF4A7AEA" w:tentative="1">
      <w:start w:val="1"/>
      <w:numFmt w:val="bullet"/>
      <w:lvlText w:val="•"/>
      <w:lvlJc w:val="left"/>
      <w:pPr>
        <w:tabs>
          <w:tab w:val="num" w:pos="6120"/>
        </w:tabs>
        <w:ind w:left="612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929"/>
    <w:rsid w:val="001832DD"/>
    <w:rsid w:val="00242141"/>
    <w:rsid w:val="002C449D"/>
    <w:rsid w:val="0056693C"/>
    <w:rsid w:val="007A0929"/>
    <w:rsid w:val="008834CA"/>
    <w:rsid w:val="00AD2B70"/>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68B6D6-CBF5-47C2-A7F7-AFB69238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929"/>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153BA74-122A-4A5B-9E89-4E27A4A0D4DB}"/>
</file>

<file path=customXml/itemProps2.xml><?xml version="1.0" encoding="utf-8"?>
<ds:datastoreItem xmlns:ds="http://schemas.openxmlformats.org/officeDocument/2006/customXml" ds:itemID="{DF2FCDEE-22D6-4CEF-B1DC-B04D22559DA6}"/>
</file>

<file path=customXml/itemProps3.xml><?xml version="1.0" encoding="utf-8"?>
<ds:datastoreItem xmlns:ds="http://schemas.openxmlformats.org/officeDocument/2006/customXml" ds:itemID="{9030AE1D-7B5A-4012-BB88-E87A88F9EBC8}"/>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1381</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