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FD" w:rsidRDefault="005B0BF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6684 : résumé</w:t>
      </w:r>
    </w:p>
    <w:p w:rsidR="005B0BFD" w:rsidRDefault="005B0BFD">
      <w:pPr>
        <w:rPr>
          <w:rFonts w:ascii="Arial" w:hAnsi="Arial" w:cs="Arial"/>
          <w:sz w:val="22"/>
          <w:szCs w:val="22"/>
        </w:rPr>
      </w:pPr>
    </w:p>
    <w:p w:rsidR="001832DD" w:rsidRDefault="005B0BFD" w:rsidP="005B0BFD">
      <w:pPr>
        <w:jc w:val="both"/>
      </w:pPr>
      <w:r>
        <w:rPr>
          <w:rFonts w:ascii="Arial" w:hAnsi="Arial" w:cs="Arial"/>
          <w:sz w:val="22"/>
          <w:szCs w:val="22"/>
        </w:rPr>
        <w:t>L</w:t>
      </w:r>
      <w:r w:rsidRPr="00222B01">
        <w:rPr>
          <w:rFonts w:ascii="Arial" w:hAnsi="Arial" w:cs="Arial"/>
          <w:sz w:val="22"/>
          <w:szCs w:val="22"/>
        </w:rPr>
        <w:t xml:space="preserve">e projet a pour objet la construction d’une nouvelle gare ferroviaire dénommée « arrêt pont rouge » sur la ligne du Nord, à hauteur du pont « </w:t>
      </w:r>
      <w:proofErr w:type="spellStart"/>
      <w:r w:rsidRPr="00222B01">
        <w:rPr>
          <w:rFonts w:ascii="Arial" w:hAnsi="Arial" w:cs="Arial"/>
          <w:sz w:val="22"/>
          <w:szCs w:val="22"/>
        </w:rPr>
        <w:t>Grande-Duchesse</w:t>
      </w:r>
      <w:proofErr w:type="spellEnd"/>
      <w:r w:rsidRPr="00222B01">
        <w:rPr>
          <w:rFonts w:ascii="Arial" w:hAnsi="Arial" w:cs="Arial"/>
          <w:sz w:val="22"/>
          <w:szCs w:val="22"/>
        </w:rPr>
        <w:t xml:space="preserve"> Charlotte », avec ses accès et deux funiculaires. Le montant total des travaux à réaliser est estimé à 96.297.629 euros. </w:t>
      </w:r>
      <w:r w:rsidRPr="00222B01">
        <w:rPr>
          <w:rFonts w:ascii="Arial" w:hAnsi="Arial" w:cs="Arial"/>
          <w:color w:val="000000"/>
          <w:sz w:val="22"/>
          <w:szCs w:val="22"/>
          <w:lang w:val="fr-LU" w:eastAsia="fr-LU"/>
        </w:rPr>
        <w:t>L’autorisation du législateur pour procéder à ces travaux est requise en vertu de l’article 99 de la Constitution, étant donné que ce montant dépasse le seuil de 40 millions d’euros prévu à cet effet par l’article 80 de la loi modifiée du 8 juin 1999 sur le budget, la comptabilité et la trésorerie de l’Etat.</w:t>
      </w:r>
    </w:p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BFD"/>
    <w:rsid w:val="001832DD"/>
    <w:rsid w:val="004D2658"/>
    <w:rsid w:val="00525F6F"/>
    <w:rsid w:val="0056693C"/>
    <w:rsid w:val="005B0BFD"/>
    <w:rsid w:val="008834CA"/>
    <w:rsid w:val="00996845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060540-9743-44F7-99D9-2623EE1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DP6684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6684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/sftpecos/Dossiers_parlementaires/6684/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AC5A784-D1D9-4C98-A85E-B6C9CDD26A7D}"/>
</file>

<file path=customXml/itemProps2.xml><?xml version="1.0" encoding="utf-8"?>
<ds:datastoreItem xmlns:ds="http://schemas.openxmlformats.org/officeDocument/2006/customXml" ds:itemID="{CA9C00B6-7746-4F65-958E-90DA38166800}"/>
</file>

<file path=customXml/itemProps3.xml><?xml version="1.0" encoding="utf-8"?>
<ds:datastoreItem xmlns:ds="http://schemas.openxmlformats.org/officeDocument/2006/customXml" ds:itemID="{266DC9D2-C7B8-44A2-99C2-8FDC050B8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