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25" w:rsidRPr="003D7A1F" w:rsidRDefault="00587025" w:rsidP="007209C4">
      <w:pPr>
        <w:rPr>
          <w:rFonts w:ascii="Arial" w:hAnsi="Arial" w:cs="Arial"/>
          <w:b/>
          <w:noProof/>
          <w:lang w:val="fr-FR"/>
        </w:rPr>
      </w:pPr>
      <w:bookmarkStart w:id="0" w:name="_GoBack"/>
      <w:bookmarkEnd w:id="0"/>
      <w:r w:rsidRPr="003D7A1F">
        <w:rPr>
          <w:rFonts w:ascii="Arial" w:hAnsi="Arial" w:cs="Arial"/>
          <w:b/>
          <w:noProof/>
          <w:lang w:val="fr-FR"/>
        </w:rPr>
        <w:t>Projet de loi</w:t>
      </w:r>
      <w:r w:rsidR="007209C4">
        <w:rPr>
          <w:rFonts w:ascii="Arial" w:hAnsi="Arial" w:cs="Arial"/>
          <w:b/>
          <w:noProof/>
          <w:lang w:val="fr-FR"/>
        </w:rPr>
        <w:t xml:space="preserve"> 6616</w:t>
      </w:r>
    </w:p>
    <w:p w:rsidR="00587025" w:rsidRPr="003D7A1F" w:rsidRDefault="00587025" w:rsidP="00587025">
      <w:pPr>
        <w:pStyle w:val="Pa4"/>
        <w:jc w:val="center"/>
        <w:rPr>
          <w:rFonts w:ascii="Arial" w:hAnsi="Arial" w:cs="Arial"/>
          <w:b/>
          <w:bCs/>
          <w:color w:val="000000"/>
          <w:sz w:val="22"/>
          <w:szCs w:val="22"/>
        </w:rPr>
      </w:pPr>
    </w:p>
    <w:p w:rsidR="00587025" w:rsidRDefault="00587025" w:rsidP="007209C4">
      <w:pPr>
        <w:pStyle w:val="Pa4"/>
        <w:rPr>
          <w:rFonts w:ascii="Arial" w:hAnsi="Arial" w:cs="Arial"/>
          <w:b/>
          <w:bCs/>
          <w:color w:val="000000"/>
        </w:rPr>
      </w:pPr>
      <w:r w:rsidRPr="003D7A1F">
        <w:rPr>
          <w:rFonts w:ascii="Arial" w:hAnsi="Arial" w:cs="Arial"/>
          <w:b/>
          <w:bCs/>
          <w:color w:val="000000"/>
        </w:rPr>
        <w:t>portant transposition</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xml:space="preserve">– de la directive 2009/133/CE du Conseil du 19 octobre 2009 concernant le régime fiscal commun applicable aux fusions, scissions, scissions partielles, apports d’actifs et échanges d’actions intéressant des sociétés d’Etats membres différents, ainsi qu’au transfert du siège statuaire d’une SE ou d’une </w:t>
      </w:r>
      <w:r w:rsidRPr="003D7A1F">
        <w:rPr>
          <w:rFonts w:ascii="Arial" w:hAnsi="Arial" w:cs="Arial"/>
          <w:b/>
          <w:bCs/>
          <w:lang w:val="fr-FR"/>
        </w:rPr>
        <w:t>SCE</w:t>
      </w:r>
      <w:r w:rsidRPr="003D7A1F">
        <w:rPr>
          <w:rFonts w:ascii="Arial" w:hAnsi="Arial" w:cs="Arial"/>
          <w:b/>
          <w:bCs/>
          <w:color w:val="000000"/>
          <w:lang w:val="fr-FR"/>
        </w:rPr>
        <w:t xml:space="preserve"> d’un Etat membre à un autre;</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de la directive 2011/96/UE du Conseil du 30 novembre 2011 concernant le régime fiscal commun applicable aux sociétés mères et filiales d’Etats membres différents;</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de la directive 2013/13/UE du Conseil du 13 mai 2013 portant adaptation de certaines directives dans le domaine de la fiscalité, du fait de l’adhésion de la République de Croatie;</w:t>
      </w:r>
    </w:p>
    <w:p w:rsidR="00587025" w:rsidRPr="003D7A1F" w:rsidRDefault="00587025" w:rsidP="00587025">
      <w:pPr>
        <w:pStyle w:val="Pa4"/>
        <w:rPr>
          <w:rFonts w:ascii="Arial" w:hAnsi="Arial" w:cs="Arial"/>
          <w:b/>
          <w:bCs/>
          <w:color w:val="000000"/>
        </w:rPr>
      </w:pPr>
    </w:p>
    <w:p w:rsidR="00587025" w:rsidRPr="003D7A1F" w:rsidRDefault="00587025" w:rsidP="00587025">
      <w:pPr>
        <w:pStyle w:val="Pa4"/>
        <w:rPr>
          <w:rFonts w:ascii="Arial" w:hAnsi="Arial" w:cs="Arial"/>
          <w:color w:val="000000"/>
        </w:rPr>
      </w:pPr>
      <w:r w:rsidRPr="003D7A1F">
        <w:rPr>
          <w:rFonts w:ascii="Arial" w:hAnsi="Arial" w:cs="Arial"/>
          <w:b/>
          <w:bCs/>
          <w:color w:val="000000"/>
        </w:rPr>
        <w:t>portant modification</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de la loi modifiée du 4 décembre 1967 concernant l’impôt sur le revenu;</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de la loi modifiée du 16 octobre 1934 sur l’évaluation des biens et valeurs;</w:t>
      </w:r>
    </w:p>
    <w:p w:rsidR="00587025" w:rsidRPr="003D7A1F" w:rsidRDefault="00587025" w:rsidP="00587025">
      <w:pPr>
        <w:pStyle w:val="Pa5"/>
        <w:jc w:val="both"/>
        <w:rPr>
          <w:rFonts w:ascii="Arial" w:hAnsi="Arial" w:cs="Arial"/>
          <w:color w:val="000000"/>
          <w:lang w:val="fr-FR"/>
        </w:rPr>
      </w:pPr>
      <w:r w:rsidRPr="003D7A1F">
        <w:rPr>
          <w:rFonts w:ascii="Arial" w:hAnsi="Arial" w:cs="Arial"/>
          <w:b/>
          <w:bCs/>
          <w:color w:val="000000"/>
          <w:lang w:val="fr-FR"/>
        </w:rPr>
        <w:t>– de la loi modifiée d’adaptation fiscale du 16 octobre 1934</w:t>
      </w:r>
    </w:p>
    <w:p w:rsidR="00587025" w:rsidRPr="003D7A1F" w:rsidRDefault="00587025" w:rsidP="00587025">
      <w:pPr>
        <w:jc w:val="center"/>
        <w:rPr>
          <w:rFonts w:ascii="Arial" w:hAnsi="Arial" w:cs="Arial"/>
          <w:b/>
          <w:noProof/>
          <w:lang w:val="fr-FR"/>
        </w:rPr>
      </w:pPr>
    </w:p>
    <w:p w:rsidR="00587025" w:rsidRPr="003D7A1F" w:rsidRDefault="00587025" w:rsidP="00587025">
      <w:pPr>
        <w:jc w:val="center"/>
        <w:rPr>
          <w:rFonts w:ascii="Arial" w:hAnsi="Arial" w:cs="Arial"/>
          <w:b/>
          <w:noProof/>
          <w:sz w:val="22"/>
          <w:szCs w:val="22"/>
          <w:lang w:val="fr-FR"/>
        </w:rPr>
      </w:pPr>
    </w:p>
    <w:p w:rsidR="00587025"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noProof/>
          <w:sz w:val="22"/>
          <w:szCs w:val="22"/>
          <w:lang w:val="fr-FR"/>
        </w:rPr>
        <w:t>Le projet de loi sous avis vise à transposer dans la législation luxembourgeois</w:t>
      </w:r>
      <w:r w:rsidR="00A8593F">
        <w:rPr>
          <w:rFonts w:ascii="Arial" w:hAnsi="Arial" w:cs="Arial"/>
          <w:noProof/>
          <w:sz w:val="22"/>
          <w:szCs w:val="22"/>
          <w:lang w:val="fr-FR"/>
        </w:rPr>
        <w:t>e trois directives européennes:</w:t>
      </w:r>
    </w:p>
    <w:p w:rsidR="00A8593F" w:rsidRPr="003D7A1F" w:rsidRDefault="00A8593F" w:rsidP="00587025">
      <w:pPr>
        <w:spacing w:beforeLines="1" w:before="2" w:afterLines="1" w:after="2"/>
        <w:jc w:val="both"/>
        <w:rPr>
          <w:rFonts w:ascii="Arial" w:hAnsi="Arial" w:cs="Arial"/>
          <w:noProof/>
          <w:sz w:val="22"/>
          <w:szCs w:val="22"/>
          <w:lang w:val="fr-FR"/>
        </w:rPr>
      </w:pPr>
    </w:p>
    <w:p w:rsidR="00587025" w:rsidRPr="003D7A1F" w:rsidRDefault="00587025" w:rsidP="00587025">
      <w:pPr>
        <w:numPr>
          <w:ilvl w:val="0"/>
          <w:numId w:val="19"/>
        </w:num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La directive 2009/133/CE</w:t>
      </w:r>
      <w:r w:rsidRPr="003D7A1F">
        <w:rPr>
          <w:rFonts w:ascii="Arial" w:hAnsi="Arial" w:cs="Arial"/>
          <w:noProof/>
          <w:sz w:val="22"/>
          <w:szCs w:val="22"/>
          <w:lang w:val="fr-FR"/>
        </w:rPr>
        <w:t xml:space="preserve"> du Conseil du 19 octobre 2009 concernant le régime fiscal commun applicable aux fusions, scissions, scissions partielles, apports d’actifs et échanges d’actions intéressant des sociétés d’Etats membres différents, ainsi qu’au transfert du siège statutaire d’une société européenne ou d’une société coopérative européenne d’un Etat membre à un autre codifie la directive 90/424/CEE, qui a été modifiée à plusieurs reprises. </w:t>
      </w:r>
    </w:p>
    <w:p w:rsidR="00587025" w:rsidRPr="003D7A1F" w:rsidRDefault="00587025" w:rsidP="00587025">
      <w:pPr>
        <w:numPr>
          <w:ilvl w:val="0"/>
          <w:numId w:val="19"/>
        </w:num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La directive 2011/96/UE</w:t>
      </w:r>
      <w:r w:rsidRPr="003D7A1F">
        <w:rPr>
          <w:rFonts w:ascii="Arial" w:hAnsi="Arial" w:cs="Arial"/>
          <w:noProof/>
          <w:sz w:val="22"/>
          <w:szCs w:val="22"/>
          <w:lang w:val="fr-FR"/>
        </w:rPr>
        <w:t xml:space="preserve"> du Conseil du 30 novembre 2011 concernant le régime fiscal commun applicable aux sociétés mères et filiales d’Etats membres différents codifie la directive 90/435/CEE et reformule certaines dispositions pour tenir compte de la jurisprudence de la Cour de justice de l’Union européenne. </w:t>
      </w:r>
    </w:p>
    <w:p w:rsidR="00587025" w:rsidRPr="003D7A1F" w:rsidRDefault="00587025" w:rsidP="00587025">
      <w:pPr>
        <w:numPr>
          <w:ilvl w:val="0"/>
          <w:numId w:val="19"/>
        </w:num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La directive 2013/13/UE</w:t>
      </w:r>
      <w:r w:rsidRPr="003D7A1F">
        <w:rPr>
          <w:rFonts w:ascii="Arial" w:hAnsi="Arial" w:cs="Arial"/>
          <w:noProof/>
          <w:sz w:val="22"/>
          <w:szCs w:val="22"/>
          <w:lang w:val="fr-FR"/>
        </w:rPr>
        <w:t xml:space="preserve"> du Conseil du 13 mai 2013 adapte certaines directives dans le domaine de la fiscalité du fait de l’adhésion de la République de Croatie à l’Union européenne. </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La directive 2009/133/CE</w:t>
      </w:r>
      <w:r w:rsidRPr="003D7A1F">
        <w:rPr>
          <w:rFonts w:ascii="Arial" w:hAnsi="Arial" w:cs="Arial"/>
          <w:noProof/>
          <w:sz w:val="22"/>
          <w:szCs w:val="22"/>
          <w:lang w:val="fr-FR"/>
        </w:rPr>
        <w:t xml:space="preserve"> du Conseil de l’Union européenne du 19 octobre 2009 (J.O. L 310/34 du 25 novembre 2009) concernant le régime fiscal commun applicable aux fusions, scissions, scissions partielles, apports d’actifs et échanges d’actions intéressant des sociétés d’Etats membres différents, ainsi qu’au transfert du siège statutaire d’une société européenne ou d’une société coopérative européenne d’un Etat membre à un autre a abrogé et codifié la directive 90/434/CEE (J.O. L 225/6 du 20 août 1990). En effet</w:t>
      </w:r>
      <w:r>
        <w:rPr>
          <w:rFonts w:ascii="Arial" w:hAnsi="Arial" w:cs="Arial"/>
          <w:noProof/>
          <w:sz w:val="22"/>
          <w:szCs w:val="22"/>
          <w:lang w:val="fr-FR"/>
        </w:rPr>
        <w:t>,</w:t>
      </w:r>
      <w:r w:rsidRPr="003D7A1F">
        <w:rPr>
          <w:rFonts w:ascii="Arial" w:hAnsi="Arial" w:cs="Arial"/>
          <w:noProof/>
          <w:sz w:val="22"/>
          <w:szCs w:val="22"/>
          <w:lang w:val="fr-FR"/>
        </w:rPr>
        <w:t xml:space="preserve"> la nouvelle directive tient compte des actes d’adhésion de l’Autriche, de la Finlande</w:t>
      </w:r>
      <w:r>
        <w:rPr>
          <w:rFonts w:ascii="Arial" w:hAnsi="Arial" w:cs="Arial"/>
          <w:noProof/>
          <w:sz w:val="22"/>
          <w:szCs w:val="22"/>
          <w:lang w:val="fr-FR"/>
        </w:rPr>
        <w:t>,</w:t>
      </w:r>
      <w:r w:rsidRPr="003D7A1F">
        <w:rPr>
          <w:rFonts w:ascii="Arial" w:hAnsi="Arial" w:cs="Arial"/>
          <w:noProof/>
          <w:sz w:val="22"/>
          <w:szCs w:val="22"/>
          <w:lang w:val="fr-FR"/>
        </w:rPr>
        <w:t xml:space="preserv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w:t>
      </w:r>
      <w:r>
        <w:rPr>
          <w:rFonts w:ascii="Arial" w:hAnsi="Arial" w:cs="Arial"/>
          <w:noProof/>
          <w:sz w:val="22"/>
          <w:szCs w:val="22"/>
          <w:lang w:val="fr-FR"/>
        </w:rPr>
        <w:t>. Elle tient également compte des</w:t>
      </w:r>
      <w:r w:rsidRPr="003D7A1F">
        <w:rPr>
          <w:rFonts w:ascii="Arial" w:hAnsi="Arial" w:cs="Arial"/>
          <w:noProof/>
          <w:sz w:val="22"/>
          <w:szCs w:val="22"/>
          <w:lang w:val="fr-FR"/>
        </w:rPr>
        <w:t xml:space="preserve"> adaptations des traités sur lesquels est </w:t>
      </w:r>
      <w:r w:rsidRPr="003D7A1F">
        <w:rPr>
          <w:rFonts w:ascii="Arial" w:hAnsi="Arial" w:cs="Arial"/>
          <w:noProof/>
          <w:sz w:val="22"/>
          <w:szCs w:val="22"/>
          <w:lang w:val="fr-FR"/>
        </w:rPr>
        <w:lastRenderedPageBreak/>
        <w:t>fondée l’Union européenne (J.O. L 236/555 du 23 septembre 2003), ainsi que des directives 2005/19/CE du Conseil du 17 février 2005 (J.O. L 58/19 du 4 mars 2005) et 2006/98/CE du Conseil du 20 novembre 2006 (J.O. L 363/129 du 20 décembre 2006).</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noProof/>
          <w:sz w:val="22"/>
          <w:szCs w:val="22"/>
          <w:lang w:val="fr-FR"/>
        </w:rPr>
        <w:t xml:space="preserve">A noter encore que depuis l’entrée en vigueur de la directive 2009/133/CE, les références à la directive modifiée 90/434/CEE sont à lire comme références à la directive 2009/133/CE conformément aux dispositions de son article 17 et ceci jusqu’à la mise en vigueur du présent projet de loi. </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La directive 2011/96/UE</w:t>
      </w:r>
      <w:r w:rsidRPr="003D7A1F">
        <w:rPr>
          <w:rFonts w:ascii="Arial" w:hAnsi="Arial" w:cs="Arial"/>
          <w:noProof/>
          <w:sz w:val="22"/>
          <w:szCs w:val="22"/>
          <w:lang w:val="fr-FR"/>
        </w:rPr>
        <w:t xml:space="preserve"> du Conseil de l’Union européenne du 30 novembre 2011 (J.O. L 345/8 du 29 décembre 2011) concernant le régime fiscal commun applicable aux sociétés mères et filiales d’Etats membres différents constitue une refonte de la directive 90/435/CEE (J.O. L 225/6 du 20 août 1990) et des différents actes d’adhésion et directives qui l’ont modifié par la suite.</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noProof/>
          <w:sz w:val="22"/>
          <w:szCs w:val="22"/>
          <w:lang w:val="fr-FR"/>
        </w:rPr>
        <w:t xml:space="preserve">La directive 2011/96/UE est entrée en vigueur le 18 janvier 2012 et a abrogé à partir de cette même date la directive 90/435/CEE. L’unique changement de fonds par rapport à la directive 90/435/CEE </w:t>
      </w:r>
      <w:r>
        <w:rPr>
          <w:rFonts w:ascii="Arial" w:hAnsi="Arial" w:cs="Arial"/>
          <w:noProof/>
          <w:sz w:val="22"/>
          <w:szCs w:val="22"/>
          <w:lang w:val="fr-FR"/>
        </w:rPr>
        <w:t xml:space="preserve">et des modifications y apportées, </w:t>
      </w:r>
      <w:r w:rsidRPr="003D7A1F">
        <w:rPr>
          <w:rFonts w:ascii="Arial" w:hAnsi="Arial" w:cs="Arial"/>
          <w:noProof/>
          <w:sz w:val="22"/>
          <w:szCs w:val="22"/>
          <w:lang w:val="fr-FR"/>
        </w:rPr>
        <w:t xml:space="preserve">a trait à l’article 4, paragraphe 3, deuxième alinéa de la directive modifiée 90/435/ CEE (devenu l’article 4, paragraphe 5 de la directive 2011/96/UE) et consiste à clarifier que les dispositions y visées sont adoptées par le Conseil conformément à la procédure prévue par le traité. </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noProof/>
          <w:sz w:val="22"/>
          <w:szCs w:val="22"/>
          <w:lang w:val="fr-FR"/>
        </w:rPr>
        <w:t xml:space="preserve">Jusqu’à la mise en vigueur du présent projet de loi, les références faites à la directive modifiée 90/435/CEE s’entendent comme faites à la directive 2011/96/CE sur la base des dispositions de l’article 9 de la directive 2011/96/UE. </w:t>
      </w:r>
    </w:p>
    <w:p w:rsidR="00587025" w:rsidRPr="003D7A1F" w:rsidRDefault="00587025" w:rsidP="00587025">
      <w:pPr>
        <w:spacing w:beforeLines="1" w:before="2" w:afterLines="1" w:after="2"/>
        <w:jc w:val="both"/>
        <w:rPr>
          <w:rFonts w:ascii="Arial" w:hAnsi="Arial" w:cs="Arial"/>
          <w:noProof/>
          <w:sz w:val="22"/>
          <w:szCs w:val="22"/>
          <w:lang w:val="fr-FR"/>
        </w:rPr>
      </w:pPr>
    </w:p>
    <w:p w:rsidR="00587025" w:rsidRPr="003D7A1F" w:rsidRDefault="00587025" w:rsidP="00587025">
      <w:pPr>
        <w:spacing w:beforeLines="1" w:before="2" w:afterLines="1" w:after="2"/>
        <w:jc w:val="both"/>
        <w:rPr>
          <w:rFonts w:ascii="Arial" w:hAnsi="Arial" w:cs="Arial"/>
          <w:noProof/>
          <w:sz w:val="22"/>
          <w:szCs w:val="22"/>
          <w:lang w:val="fr-FR"/>
        </w:rPr>
      </w:pPr>
      <w:r w:rsidRPr="003D7A1F">
        <w:rPr>
          <w:rFonts w:ascii="Arial" w:hAnsi="Arial" w:cs="Arial"/>
          <w:b/>
          <w:noProof/>
          <w:sz w:val="22"/>
          <w:szCs w:val="22"/>
          <w:lang w:val="fr-FR"/>
        </w:rPr>
        <w:t xml:space="preserve">La directive 2013/13/UE </w:t>
      </w:r>
      <w:r w:rsidRPr="003D7A1F">
        <w:rPr>
          <w:rFonts w:ascii="Arial" w:hAnsi="Arial" w:cs="Arial"/>
          <w:noProof/>
          <w:sz w:val="22"/>
          <w:szCs w:val="22"/>
          <w:lang w:val="fr-FR"/>
        </w:rPr>
        <w:t>du Conseil de l’Union européenne du 13 mai 2013 (J.O. L 141/30 du 28 mai 2013) a modifié certaines directives dans le domaine de la fiscalité directe et indirecte, en raison de l’adhésion de la République de Croatie à l’Union européenne. La directive aurait dû être transposée dans notre droit interne au plus tard à la date d’adhésion de la République de Croatie, à savoir le 1</w:t>
      </w:r>
      <w:r w:rsidR="00A8593F" w:rsidRPr="00A8593F">
        <w:rPr>
          <w:rFonts w:ascii="Arial" w:hAnsi="Arial" w:cs="Arial"/>
          <w:noProof/>
          <w:sz w:val="22"/>
          <w:szCs w:val="22"/>
          <w:vertAlign w:val="superscript"/>
          <w:lang w:val="fr-FR"/>
        </w:rPr>
        <w:t>er</w:t>
      </w:r>
      <w:r w:rsidR="00A8593F">
        <w:rPr>
          <w:rFonts w:ascii="Arial" w:hAnsi="Arial" w:cs="Arial"/>
          <w:noProof/>
          <w:sz w:val="22"/>
          <w:szCs w:val="22"/>
          <w:lang w:val="fr-FR"/>
        </w:rPr>
        <w:t xml:space="preserve"> </w:t>
      </w:r>
      <w:r w:rsidRPr="003D7A1F">
        <w:rPr>
          <w:rFonts w:ascii="Arial" w:hAnsi="Arial" w:cs="Arial"/>
          <w:noProof/>
          <w:sz w:val="22"/>
          <w:szCs w:val="22"/>
          <w:lang w:val="fr-FR"/>
        </w:rPr>
        <w:t>juillet 2013.</w:t>
      </w:r>
    </w:p>
    <w:p w:rsidR="00587025" w:rsidRDefault="00587025" w:rsidP="00587025">
      <w:pPr>
        <w:jc w:val="both"/>
        <w:rPr>
          <w:rFonts w:ascii="Arial" w:hAnsi="Arial" w:cs="Arial"/>
          <w:sz w:val="22"/>
          <w:szCs w:val="22"/>
          <w:lang w:val="fr-FR"/>
        </w:rPr>
      </w:pPr>
    </w:p>
    <w:p w:rsidR="00587025" w:rsidRPr="003D7A1F" w:rsidRDefault="00587025" w:rsidP="00587025">
      <w:pPr>
        <w:jc w:val="both"/>
        <w:rPr>
          <w:rFonts w:ascii="Arial" w:hAnsi="Arial" w:cs="Arial"/>
          <w:sz w:val="22"/>
          <w:szCs w:val="22"/>
          <w:lang w:val="fr-FR"/>
        </w:rPr>
      </w:pPr>
    </w:p>
    <w:sectPr w:rsidR="00587025" w:rsidRPr="003D7A1F" w:rsidSect="00587025">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B2D" w:rsidRDefault="00BE5B2D" w:rsidP="00587025">
      <w:r>
        <w:separator/>
      </w:r>
    </w:p>
  </w:endnote>
  <w:endnote w:type="continuationSeparator" w:id="0">
    <w:p w:rsidR="00BE5B2D" w:rsidRDefault="00BE5B2D" w:rsidP="005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25" w:rsidRDefault="00587025">
    <w:pPr>
      <w:pStyle w:val="Pieddepage"/>
      <w:jc w:val="center"/>
    </w:pPr>
    <w:r>
      <w:fldChar w:fldCharType="begin"/>
    </w:r>
    <w:r>
      <w:instrText xml:space="preserve"> </w:instrText>
    </w:r>
    <w:r w:rsidR="00175B61">
      <w:instrText>PAGE</w:instrText>
    </w:r>
    <w:r>
      <w:instrText xml:space="preserve">   \* MERGEFORMAT </w:instrText>
    </w:r>
    <w:r>
      <w:fldChar w:fldCharType="separate"/>
    </w:r>
    <w:r w:rsidR="00CF256C">
      <w:rPr>
        <w:noProof/>
      </w:rPr>
      <w:t>2</w:t>
    </w:r>
    <w:r>
      <w:rPr>
        <w:noProof/>
      </w:rPr>
      <w:fldChar w:fldCharType="end"/>
    </w:r>
  </w:p>
  <w:p w:rsidR="00587025" w:rsidRDefault="0058702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B2D" w:rsidRDefault="00BE5B2D" w:rsidP="00587025">
      <w:r>
        <w:separator/>
      </w:r>
    </w:p>
  </w:footnote>
  <w:footnote w:type="continuationSeparator" w:id="0">
    <w:p w:rsidR="00BE5B2D" w:rsidRDefault="00BE5B2D" w:rsidP="00587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25" w:rsidRDefault="00587025" w:rsidP="00587025">
    <w:pPr>
      <w:pStyle w:val="En-tte"/>
      <w:framePr w:wrap="around" w:vAnchor="text" w:hAnchor="margin" w:xAlign="center" w:y="1"/>
      <w:rPr>
        <w:rStyle w:val="Numrodepage"/>
      </w:rPr>
    </w:pPr>
    <w:r>
      <w:rPr>
        <w:rStyle w:val="Numrodepage"/>
      </w:rPr>
      <w:fldChar w:fldCharType="begin"/>
    </w:r>
    <w:r w:rsidR="00175B61">
      <w:rPr>
        <w:rStyle w:val="Numrodepage"/>
      </w:rPr>
      <w:instrText>PAGE</w:instrText>
    </w:r>
    <w:r>
      <w:rPr>
        <w:rStyle w:val="Numrodepage"/>
      </w:rPr>
      <w:instrText xml:space="preserve">  </w:instrText>
    </w:r>
    <w:r>
      <w:rPr>
        <w:rStyle w:val="Numrodepage"/>
      </w:rPr>
      <w:fldChar w:fldCharType="end"/>
    </w:r>
  </w:p>
  <w:p w:rsidR="00587025" w:rsidRDefault="0058702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BDA"/>
    <w:multiLevelType w:val="multilevel"/>
    <w:tmpl w:val="964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2069"/>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CA2B08"/>
    <w:multiLevelType w:val="multilevel"/>
    <w:tmpl w:val="35A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551DF"/>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774B72"/>
    <w:multiLevelType w:val="hybridMultilevel"/>
    <w:tmpl w:val="21FAFD98"/>
    <w:lvl w:ilvl="0" w:tplc="F35A6B8A">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D67C17"/>
    <w:multiLevelType w:val="multilevel"/>
    <w:tmpl w:val="B25AD5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13A4736"/>
    <w:multiLevelType w:val="hybridMultilevel"/>
    <w:tmpl w:val="8922436A"/>
    <w:lvl w:ilvl="0" w:tplc="B290CBF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C443E"/>
    <w:multiLevelType w:val="hybridMultilevel"/>
    <w:tmpl w:val="65A01494"/>
    <w:lvl w:ilvl="0" w:tplc="1414AA78">
      <w:start w:val="30"/>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D1472"/>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875629"/>
    <w:multiLevelType w:val="multilevel"/>
    <w:tmpl w:val="41C201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0" w15:restartNumberingAfterBreak="0">
    <w:nsid w:val="40B762AC"/>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49498F"/>
    <w:multiLevelType w:val="hybridMultilevel"/>
    <w:tmpl w:val="9A1C9804"/>
    <w:lvl w:ilvl="0" w:tplc="9A38CDBE">
      <w:start w:val="1"/>
      <w:numFmt w:val="decimal"/>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6741467"/>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8770F1"/>
    <w:multiLevelType w:val="multilevel"/>
    <w:tmpl w:val="3C3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06223"/>
    <w:multiLevelType w:val="multilevel"/>
    <w:tmpl w:val="41C201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5" w15:restartNumberingAfterBreak="0">
    <w:nsid w:val="6328350B"/>
    <w:multiLevelType w:val="multilevel"/>
    <w:tmpl w:val="5966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A50C9"/>
    <w:multiLevelType w:val="hybridMultilevel"/>
    <w:tmpl w:val="9A1C9804"/>
    <w:lvl w:ilvl="0" w:tplc="9A38CDBE">
      <w:start w:val="1"/>
      <w:numFmt w:val="decimal"/>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6E7255CE"/>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9A26A6"/>
    <w:multiLevelType w:val="multilevel"/>
    <w:tmpl w:val="DA268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9620312"/>
    <w:multiLevelType w:val="multilevel"/>
    <w:tmpl w:val="E64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A20380"/>
    <w:multiLevelType w:val="hybridMultilevel"/>
    <w:tmpl w:val="6644C8EE"/>
    <w:lvl w:ilvl="0" w:tplc="AC2813B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9"/>
  </w:num>
  <w:num w:numId="3">
    <w:abstractNumId w:val="18"/>
  </w:num>
  <w:num w:numId="4">
    <w:abstractNumId w:val="12"/>
  </w:num>
  <w:num w:numId="5">
    <w:abstractNumId w:val="8"/>
  </w:num>
  <w:num w:numId="6">
    <w:abstractNumId w:val="3"/>
  </w:num>
  <w:num w:numId="7">
    <w:abstractNumId w:val="10"/>
  </w:num>
  <w:num w:numId="8">
    <w:abstractNumId w:val="2"/>
  </w:num>
  <w:num w:numId="9">
    <w:abstractNumId w:val="7"/>
  </w:num>
  <w:num w:numId="10">
    <w:abstractNumId w:val="17"/>
  </w:num>
  <w:num w:numId="11">
    <w:abstractNumId w:val="1"/>
  </w:num>
  <w:num w:numId="12">
    <w:abstractNumId w:val="16"/>
  </w:num>
  <w:num w:numId="13">
    <w:abstractNumId w:val="6"/>
  </w:num>
  <w:num w:numId="14">
    <w:abstractNumId w:val="11"/>
  </w:num>
  <w:num w:numId="15">
    <w:abstractNumId w:val="20"/>
  </w:num>
  <w:num w:numId="16">
    <w:abstractNumId w:val="19"/>
  </w:num>
  <w:num w:numId="17">
    <w:abstractNumId w:val="5"/>
  </w:num>
  <w:num w:numId="18">
    <w:abstractNumId w:val="0"/>
  </w:num>
  <w:num w:numId="19">
    <w:abstractNumId w:val="13"/>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175B61"/>
    <w:rsid w:val="00180843"/>
    <w:rsid w:val="00440DC7"/>
    <w:rsid w:val="004E077C"/>
    <w:rsid w:val="00506033"/>
    <w:rsid w:val="0053343C"/>
    <w:rsid w:val="00570761"/>
    <w:rsid w:val="00587025"/>
    <w:rsid w:val="00701FF2"/>
    <w:rsid w:val="007209C4"/>
    <w:rsid w:val="00A8593F"/>
    <w:rsid w:val="00A8781F"/>
    <w:rsid w:val="00AD63D2"/>
    <w:rsid w:val="00BE5B2D"/>
    <w:rsid w:val="00CB66C8"/>
    <w:rsid w:val="00CE7442"/>
    <w:rsid w:val="00CF256C"/>
    <w:rsid w:val="00E92CE1"/>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31D4611C-850E-4F6C-8685-5A817895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paragraph" w:styleId="Titre8">
    <w:name w:val="heading 8"/>
    <w:basedOn w:val="Normal"/>
    <w:next w:val="Normal"/>
    <w:link w:val="Titre8Car"/>
    <w:uiPriority w:val="9"/>
    <w:qFormat/>
    <w:rsid w:val="00370646"/>
    <w:pPr>
      <w:spacing w:before="240" w:after="60" w:line="276" w:lineRule="auto"/>
      <w:outlineLvl w:val="7"/>
    </w:pPr>
    <w:rPr>
      <w:rFonts w:ascii="Times New Roman" w:eastAsia="Calibri" w:hAnsi="Times New Roman"/>
      <w:i/>
      <w:iCs/>
      <w:sz w:val="20"/>
      <w:szCs w:val="20"/>
      <w:lang w:val="en-US" w:eastAsia="x-none" w:bidi="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8Car">
    <w:name w:val="Titre 8 Car"/>
    <w:link w:val="Titre8"/>
    <w:uiPriority w:val="9"/>
    <w:semiHidden/>
    <w:rsid w:val="00370646"/>
    <w:rPr>
      <w:rFonts w:ascii="Times New Roman" w:eastAsia="Calibri" w:hAnsi="Times New Roman" w:cs="Times New Roman"/>
      <w:i/>
      <w:iCs/>
      <w:lang w:val="en-US" w:bidi="en-US"/>
    </w:rPr>
  </w:style>
  <w:style w:type="paragraph" w:styleId="Textedebulles">
    <w:name w:val="Balloon Text"/>
    <w:basedOn w:val="Normal"/>
    <w:link w:val="TextedebullesCar1"/>
    <w:uiPriority w:val="99"/>
    <w:semiHidden/>
    <w:unhideWhenUsed/>
    <w:rsid w:val="00EA07E2"/>
    <w:rPr>
      <w:rFonts w:ascii="Lucida Grande" w:hAnsi="Lucida Grande"/>
      <w:sz w:val="18"/>
      <w:szCs w:val="18"/>
      <w:lang w:val="x-none" w:eastAsia="x-none"/>
    </w:rPr>
  </w:style>
  <w:style w:type="character" w:customStyle="1" w:styleId="TextedebullesCar1">
    <w:name w:val="Texte de bulles Car1"/>
    <w:link w:val="Textedebulles"/>
    <w:uiPriority w:val="99"/>
    <w:semiHidden/>
    <w:rsid w:val="00EA07E2"/>
    <w:rPr>
      <w:rFonts w:ascii="Lucida Grande" w:hAnsi="Lucida Grande"/>
      <w:sz w:val="18"/>
      <w:szCs w:val="18"/>
    </w:rPr>
  </w:style>
  <w:style w:type="character" w:customStyle="1" w:styleId="TextedebullesCar">
    <w:name w:val="Texte de bulles Car"/>
    <w:uiPriority w:val="99"/>
    <w:semiHidden/>
    <w:rsid w:val="00EA07E2"/>
    <w:rPr>
      <w:rFonts w:ascii="Lucida Grande" w:hAnsi="Lucida Grande"/>
      <w:sz w:val="18"/>
      <w:szCs w:val="18"/>
    </w:rPr>
  </w:style>
  <w:style w:type="paragraph" w:styleId="Listecouleur-Accent1">
    <w:name w:val="Colorful List Accent 1"/>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82ACC"/>
    <w:pPr>
      <w:autoSpaceDE w:val="0"/>
      <w:autoSpaceDN w:val="0"/>
      <w:adjustRightInd w:val="0"/>
    </w:pPr>
    <w:rPr>
      <w:rFonts w:ascii="Swis721 BT" w:eastAsia="Calibri" w:hAnsi="Swis721 BT" w:cs="Swis721 BT"/>
      <w:color w:val="000000"/>
      <w:sz w:val="24"/>
      <w:szCs w:val="24"/>
    </w:rPr>
  </w:style>
  <w:style w:type="paragraph" w:styleId="NormalWeb">
    <w:name w:val="Normal (Web)"/>
    <w:basedOn w:val="Normal"/>
    <w:uiPriority w:val="99"/>
    <w:rsid w:val="007E2C9D"/>
    <w:pPr>
      <w:spacing w:beforeLines="1" w:afterLines="1"/>
    </w:pPr>
    <w:rPr>
      <w:rFonts w:ascii="Times" w:hAnsi="Times"/>
      <w:sz w:val="20"/>
      <w:szCs w:val="20"/>
      <w:lang w:val="fr-FR" w:eastAsia="fr-FR"/>
    </w:rPr>
  </w:style>
  <w:style w:type="character" w:customStyle="1" w:styleId="NoteStyle">
    <w:name w:val="Note Style"/>
    <w:rsid w:val="00DE5F31"/>
    <w:rPr>
      <w:color w:val="545454"/>
      <w:sz w:val="24"/>
    </w:rPr>
  </w:style>
  <w:style w:type="paragraph" w:customStyle="1" w:styleId="Heading21">
    <w:name w:val="Heading 21"/>
    <w:basedOn w:val="Normal"/>
    <w:qFormat/>
    <w:rsid w:val="00BD4877"/>
    <w:pPr>
      <w:spacing w:line="264" w:lineRule="auto"/>
      <w:outlineLvl w:val="1"/>
    </w:pPr>
    <w:rPr>
      <w:rFonts w:ascii="Helvetica Neue" w:eastAsia="Times New Roman" w:hAnsi="Helvetica Neue"/>
      <w:b/>
      <w:color w:val="984A27"/>
      <w:sz w:val="26"/>
      <w:lang w:val="fr-FR" w:eastAsia="fr-FR"/>
    </w:rPr>
  </w:style>
  <w:style w:type="paragraph" w:customStyle="1" w:styleId="Heading31">
    <w:name w:val="Heading 31"/>
    <w:basedOn w:val="Normal"/>
    <w:qFormat/>
    <w:rsid w:val="00BD4877"/>
    <w:pPr>
      <w:spacing w:line="264" w:lineRule="auto"/>
      <w:outlineLvl w:val="2"/>
    </w:pPr>
    <w:rPr>
      <w:rFonts w:ascii="Helvetica Neue" w:eastAsia="Times New Roman" w:hAnsi="Helvetica Neue"/>
      <w:b/>
      <w:color w:val="984A27"/>
      <w:sz w:val="26"/>
      <w:lang w:val="fr-FR" w:eastAsia="fr-FR"/>
    </w:rPr>
  </w:style>
  <w:style w:type="paragraph" w:customStyle="1" w:styleId="Pa6">
    <w:name w:val="Pa6"/>
    <w:basedOn w:val="Normal"/>
    <w:next w:val="Normal"/>
    <w:uiPriority w:val="99"/>
    <w:rsid w:val="00566013"/>
    <w:pPr>
      <w:autoSpaceDE w:val="0"/>
      <w:autoSpaceDN w:val="0"/>
      <w:adjustRightInd w:val="0"/>
      <w:spacing w:line="201" w:lineRule="atLeast"/>
    </w:pPr>
    <w:rPr>
      <w:rFonts w:ascii="Swis721 BT" w:eastAsia="Calibri" w:hAnsi="Swis721 BT"/>
      <w:lang w:val="fr-LU"/>
    </w:rPr>
  </w:style>
  <w:style w:type="paragraph" w:customStyle="1" w:styleId="Pa5">
    <w:name w:val="Pa5"/>
    <w:basedOn w:val="Default"/>
    <w:next w:val="Default"/>
    <w:uiPriority w:val="99"/>
    <w:rsid w:val="00566013"/>
    <w:pPr>
      <w:spacing w:line="201" w:lineRule="atLeast"/>
    </w:pPr>
    <w:rPr>
      <w:rFonts w:cs="Times New Roman"/>
      <w:color w:val="auto"/>
      <w:lang w:eastAsia="en-US"/>
    </w:rPr>
  </w:style>
  <w:style w:type="paragraph" w:customStyle="1" w:styleId="Pa14">
    <w:name w:val="Pa14"/>
    <w:basedOn w:val="Default"/>
    <w:next w:val="Default"/>
    <w:uiPriority w:val="99"/>
    <w:rsid w:val="00566013"/>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566013"/>
    <w:pPr>
      <w:spacing w:line="201" w:lineRule="atLeast"/>
    </w:pPr>
    <w:rPr>
      <w:rFonts w:cs="Times New Roman"/>
      <w:color w:val="auto"/>
    </w:rPr>
  </w:style>
  <w:style w:type="paragraph" w:customStyle="1" w:styleId="Pa15">
    <w:name w:val="Pa15"/>
    <w:basedOn w:val="Default"/>
    <w:next w:val="Default"/>
    <w:uiPriority w:val="99"/>
    <w:rsid w:val="00566013"/>
    <w:pPr>
      <w:spacing w:line="201" w:lineRule="atLeast"/>
    </w:pPr>
    <w:rPr>
      <w:rFonts w:cs="Times New Roman"/>
      <w:color w:val="auto"/>
    </w:rPr>
  </w:style>
  <w:style w:type="paragraph" w:customStyle="1" w:styleId="Pa4">
    <w:name w:val="Pa4"/>
    <w:basedOn w:val="Default"/>
    <w:next w:val="Default"/>
    <w:uiPriority w:val="99"/>
    <w:rsid w:val="00970304"/>
    <w:pPr>
      <w:spacing w:line="201" w:lineRule="atLeast"/>
    </w:pPr>
    <w:rPr>
      <w:rFonts w:cs="Times New Roman"/>
      <w:color w:val="auto"/>
      <w:lang w:val="fr-FR" w:eastAsia="en-US"/>
    </w:rPr>
  </w:style>
  <w:style w:type="paragraph" w:customStyle="1" w:styleId="Pa7">
    <w:name w:val="Pa7"/>
    <w:basedOn w:val="Default"/>
    <w:next w:val="Default"/>
    <w:uiPriority w:val="99"/>
    <w:rsid w:val="007374D4"/>
    <w:pPr>
      <w:spacing w:line="201" w:lineRule="atLeast"/>
    </w:pPr>
    <w:rPr>
      <w:rFonts w:cs="Times New Roman"/>
      <w:color w:val="auto"/>
      <w:lang w:val="fr-FR" w:eastAsia="en-US"/>
    </w:rPr>
  </w:style>
  <w:style w:type="paragraph" w:customStyle="1" w:styleId="Pa12">
    <w:name w:val="Pa12"/>
    <w:basedOn w:val="Default"/>
    <w:next w:val="Default"/>
    <w:uiPriority w:val="99"/>
    <w:rsid w:val="007374D4"/>
    <w:pPr>
      <w:spacing w:line="221" w:lineRule="atLeast"/>
    </w:pPr>
    <w:rPr>
      <w:rFonts w:cs="Times New Roman"/>
      <w:color w:val="auto"/>
      <w:lang w:val="fr-FR" w:eastAsia="en-US"/>
    </w:rPr>
  </w:style>
  <w:style w:type="paragraph" w:customStyle="1" w:styleId="Pa10">
    <w:name w:val="Pa10"/>
    <w:basedOn w:val="Default"/>
    <w:next w:val="Default"/>
    <w:uiPriority w:val="99"/>
    <w:rsid w:val="007374D4"/>
    <w:pPr>
      <w:spacing w:line="201" w:lineRule="atLeast"/>
    </w:pPr>
    <w:rPr>
      <w:rFonts w:cs="Times New Roman"/>
      <w:color w:val="auto"/>
      <w:lang w:val="fr-FR" w:eastAsia="en-US"/>
    </w:rPr>
  </w:style>
  <w:style w:type="paragraph" w:customStyle="1" w:styleId="Pa19">
    <w:name w:val="Pa19"/>
    <w:basedOn w:val="Default"/>
    <w:next w:val="Default"/>
    <w:uiPriority w:val="99"/>
    <w:rsid w:val="007374D4"/>
    <w:pPr>
      <w:spacing w:line="201" w:lineRule="atLeast"/>
    </w:pPr>
    <w:rPr>
      <w:rFonts w:cs="Times New Roman"/>
      <w:color w:val="auto"/>
      <w:lang w:val="fr-FR" w:eastAsia="en-US"/>
    </w:rPr>
  </w:style>
  <w:style w:type="paragraph" w:customStyle="1" w:styleId="Pa20">
    <w:name w:val="Pa20"/>
    <w:basedOn w:val="Default"/>
    <w:next w:val="Default"/>
    <w:uiPriority w:val="99"/>
    <w:rsid w:val="007374D4"/>
    <w:pPr>
      <w:spacing w:line="201" w:lineRule="atLeast"/>
    </w:pPr>
    <w:rPr>
      <w:rFonts w:cs="Times New Roman"/>
      <w:color w:val="auto"/>
      <w:lang w:val="fr-FR" w:eastAsia="en-US"/>
    </w:rPr>
  </w:style>
  <w:style w:type="paragraph" w:customStyle="1" w:styleId="Pa21">
    <w:name w:val="Pa21"/>
    <w:basedOn w:val="Default"/>
    <w:next w:val="Default"/>
    <w:uiPriority w:val="99"/>
    <w:rsid w:val="007374D4"/>
    <w:pPr>
      <w:spacing w:line="201" w:lineRule="atLeast"/>
    </w:pPr>
    <w:rPr>
      <w:rFonts w:cs="Times New Roman"/>
      <w:color w:val="auto"/>
      <w:lang w:val="fr-FR" w:eastAsia="en-US"/>
    </w:rPr>
  </w:style>
  <w:style w:type="paragraph" w:customStyle="1" w:styleId="Pa24">
    <w:name w:val="Pa24"/>
    <w:basedOn w:val="Default"/>
    <w:next w:val="Default"/>
    <w:uiPriority w:val="99"/>
    <w:rsid w:val="007374D4"/>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7637">
      <w:bodyDiv w:val="1"/>
      <w:marLeft w:val="0"/>
      <w:marRight w:val="0"/>
      <w:marTop w:val="0"/>
      <w:marBottom w:val="0"/>
      <w:divBdr>
        <w:top w:val="none" w:sz="0" w:space="0" w:color="auto"/>
        <w:left w:val="none" w:sz="0" w:space="0" w:color="auto"/>
        <w:bottom w:val="none" w:sz="0" w:space="0" w:color="auto"/>
        <w:right w:val="none" w:sz="0" w:space="0" w:color="auto"/>
      </w:divBdr>
      <w:divsChild>
        <w:div w:id="736441571">
          <w:marLeft w:val="0"/>
          <w:marRight w:val="0"/>
          <w:marTop w:val="0"/>
          <w:marBottom w:val="0"/>
          <w:divBdr>
            <w:top w:val="none" w:sz="0" w:space="0" w:color="auto"/>
            <w:left w:val="none" w:sz="0" w:space="0" w:color="auto"/>
            <w:bottom w:val="none" w:sz="0" w:space="0" w:color="auto"/>
            <w:right w:val="none" w:sz="0" w:space="0" w:color="auto"/>
          </w:divBdr>
          <w:divsChild>
            <w:div w:id="55586864">
              <w:marLeft w:val="0"/>
              <w:marRight w:val="0"/>
              <w:marTop w:val="0"/>
              <w:marBottom w:val="0"/>
              <w:divBdr>
                <w:top w:val="none" w:sz="0" w:space="0" w:color="auto"/>
                <w:left w:val="none" w:sz="0" w:space="0" w:color="auto"/>
                <w:bottom w:val="none" w:sz="0" w:space="0" w:color="auto"/>
                <w:right w:val="none" w:sz="0" w:space="0" w:color="auto"/>
              </w:divBdr>
              <w:divsChild>
                <w:div w:id="16450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830">
      <w:bodyDiv w:val="1"/>
      <w:marLeft w:val="0"/>
      <w:marRight w:val="0"/>
      <w:marTop w:val="0"/>
      <w:marBottom w:val="0"/>
      <w:divBdr>
        <w:top w:val="none" w:sz="0" w:space="0" w:color="auto"/>
        <w:left w:val="none" w:sz="0" w:space="0" w:color="auto"/>
        <w:bottom w:val="none" w:sz="0" w:space="0" w:color="auto"/>
        <w:right w:val="none" w:sz="0" w:space="0" w:color="auto"/>
      </w:divBdr>
      <w:divsChild>
        <w:div w:id="2093161311">
          <w:marLeft w:val="0"/>
          <w:marRight w:val="0"/>
          <w:marTop w:val="0"/>
          <w:marBottom w:val="0"/>
          <w:divBdr>
            <w:top w:val="none" w:sz="0" w:space="0" w:color="auto"/>
            <w:left w:val="none" w:sz="0" w:space="0" w:color="auto"/>
            <w:bottom w:val="none" w:sz="0" w:space="0" w:color="auto"/>
            <w:right w:val="none" w:sz="0" w:space="0" w:color="auto"/>
          </w:divBdr>
          <w:divsChild>
            <w:div w:id="717630160">
              <w:marLeft w:val="0"/>
              <w:marRight w:val="0"/>
              <w:marTop w:val="0"/>
              <w:marBottom w:val="0"/>
              <w:divBdr>
                <w:top w:val="none" w:sz="0" w:space="0" w:color="auto"/>
                <w:left w:val="none" w:sz="0" w:space="0" w:color="auto"/>
                <w:bottom w:val="none" w:sz="0" w:space="0" w:color="auto"/>
                <w:right w:val="none" w:sz="0" w:space="0" w:color="auto"/>
              </w:divBdr>
              <w:divsChild>
                <w:div w:id="14374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36944">
      <w:bodyDiv w:val="1"/>
      <w:marLeft w:val="0"/>
      <w:marRight w:val="0"/>
      <w:marTop w:val="0"/>
      <w:marBottom w:val="0"/>
      <w:divBdr>
        <w:top w:val="none" w:sz="0" w:space="0" w:color="auto"/>
        <w:left w:val="none" w:sz="0" w:space="0" w:color="auto"/>
        <w:bottom w:val="none" w:sz="0" w:space="0" w:color="auto"/>
        <w:right w:val="none" w:sz="0" w:space="0" w:color="auto"/>
      </w:divBdr>
      <w:divsChild>
        <w:div w:id="1125276252">
          <w:marLeft w:val="0"/>
          <w:marRight w:val="0"/>
          <w:marTop w:val="0"/>
          <w:marBottom w:val="0"/>
          <w:divBdr>
            <w:top w:val="none" w:sz="0" w:space="0" w:color="auto"/>
            <w:left w:val="none" w:sz="0" w:space="0" w:color="auto"/>
            <w:bottom w:val="none" w:sz="0" w:space="0" w:color="auto"/>
            <w:right w:val="none" w:sz="0" w:space="0" w:color="auto"/>
          </w:divBdr>
          <w:divsChild>
            <w:div w:id="23213825">
              <w:marLeft w:val="0"/>
              <w:marRight w:val="0"/>
              <w:marTop w:val="0"/>
              <w:marBottom w:val="0"/>
              <w:divBdr>
                <w:top w:val="none" w:sz="0" w:space="0" w:color="auto"/>
                <w:left w:val="none" w:sz="0" w:space="0" w:color="auto"/>
                <w:bottom w:val="none" w:sz="0" w:space="0" w:color="auto"/>
                <w:right w:val="none" w:sz="0" w:space="0" w:color="auto"/>
              </w:divBdr>
              <w:divsChild>
                <w:div w:id="5758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58526">
      <w:bodyDiv w:val="1"/>
      <w:marLeft w:val="0"/>
      <w:marRight w:val="0"/>
      <w:marTop w:val="0"/>
      <w:marBottom w:val="0"/>
      <w:divBdr>
        <w:top w:val="none" w:sz="0" w:space="0" w:color="auto"/>
        <w:left w:val="none" w:sz="0" w:space="0" w:color="auto"/>
        <w:bottom w:val="none" w:sz="0" w:space="0" w:color="auto"/>
        <w:right w:val="none" w:sz="0" w:space="0" w:color="auto"/>
      </w:divBdr>
      <w:divsChild>
        <w:div w:id="694692748">
          <w:marLeft w:val="0"/>
          <w:marRight w:val="0"/>
          <w:marTop w:val="0"/>
          <w:marBottom w:val="0"/>
          <w:divBdr>
            <w:top w:val="none" w:sz="0" w:space="0" w:color="auto"/>
            <w:left w:val="none" w:sz="0" w:space="0" w:color="auto"/>
            <w:bottom w:val="none" w:sz="0" w:space="0" w:color="auto"/>
            <w:right w:val="none" w:sz="0" w:space="0" w:color="auto"/>
          </w:divBdr>
          <w:divsChild>
            <w:div w:id="2133357737">
              <w:marLeft w:val="0"/>
              <w:marRight w:val="0"/>
              <w:marTop w:val="0"/>
              <w:marBottom w:val="0"/>
              <w:divBdr>
                <w:top w:val="none" w:sz="0" w:space="0" w:color="auto"/>
                <w:left w:val="none" w:sz="0" w:space="0" w:color="auto"/>
                <w:bottom w:val="none" w:sz="0" w:space="0" w:color="auto"/>
                <w:right w:val="none" w:sz="0" w:space="0" w:color="auto"/>
              </w:divBdr>
              <w:divsChild>
                <w:div w:id="813572078">
                  <w:marLeft w:val="0"/>
                  <w:marRight w:val="0"/>
                  <w:marTop w:val="0"/>
                  <w:marBottom w:val="0"/>
                  <w:divBdr>
                    <w:top w:val="none" w:sz="0" w:space="0" w:color="auto"/>
                    <w:left w:val="none" w:sz="0" w:space="0" w:color="auto"/>
                    <w:bottom w:val="none" w:sz="0" w:space="0" w:color="auto"/>
                    <w:right w:val="none" w:sz="0" w:space="0" w:color="auto"/>
                  </w:divBdr>
                  <w:divsChild>
                    <w:div w:id="158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11729">
      <w:bodyDiv w:val="1"/>
      <w:marLeft w:val="0"/>
      <w:marRight w:val="0"/>
      <w:marTop w:val="0"/>
      <w:marBottom w:val="0"/>
      <w:divBdr>
        <w:top w:val="none" w:sz="0" w:space="0" w:color="auto"/>
        <w:left w:val="none" w:sz="0" w:space="0" w:color="auto"/>
        <w:bottom w:val="none" w:sz="0" w:space="0" w:color="auto"/>
        <w:right w:val="none" w:sz="0" w:space="0" w:color="auto"/>
      </w:divBdr>
      <w:divsChild>
        <w:div w:id="63845731">
          <w:marLeft w:val="0"/>
          <w:marRight w:val="0"/>
          <w:marTop w:val="0"/>
          <w:marBottom w:val="0"/>
          <w:divBdr>
            <w:top w:val="none" w:sz="0" w:space="0" w:color="auto"/>
            <w:left w:val="none" w:sz="0" w:space="0" w:color="auto"/>
            <w:bottom w:val="none" w:sz="0" w:space="0" w:color="auto"/>
            <w:right w:val="none" w:sz="0" w:space="0" w:color="auto"/>
          </w:divBdr>
          <w:divsChild>
            <w:div w:id="41949236">
              <w:marLeft w:val="0"/>
              <w:marRight w:val="0"/>
              <w:marTop w:val="0"/>
              <w:marBottom w:val="0"/>
              <w:divBdr>
                <w:top w:val="none" w:sz="0" w:space="0" w:color="auto"/>
                <w:left w:val="none" w:sz="0" w:space="0" w:color="auto"/>
                <w:bottom w:val="none" w:sz="0" w:space="0" w:color="auto"/>
                <w:right w:val="none" w:sz="0" w:space="0" w:color="auto"/>
              </w:divBdr>
              <w:divsChild>
                <w:div w:id="473911869">
                  <w:marLeft w:val="0"/>
                  <w:marRight w:val="0"/>
                  <w:marTop w:val="0"/>
                  <w:marBottom w:val="0"/>
                  <w:divBdr>
                    <w:top w:val="none" w:sz="0" w:space="0" w:color="auto"/>
                    <w:left w:val="none" w:sz="0" w:space="0" w:color="auto"/>
                    <w:bottom w:val="none" w:sz="0" w:space="0" w:color="auto"/>
                    <w:right w:val="none" w:sz="0" w:space="0" w:color="auto"/>
                  </w:divBdr>
                  <w:divsChild>
                    <w:div w:id="11942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3140">
      <w:bodyDiv w:val="1"/>
      <w:marLeft w:val="0"/>
      <w:marRight w:val="0"/>
      <w:marTop w:val="0"/>
      <w:marBottom w:val="0"/>
      <w:divBdr>
        <w:top w:val="none" w:sz="0" w:space="0" w:color="auto"/>
        <w:left w:val="none" w:sz="0" w:space="0" w:color="auto"/>
        <w:bottom w:val="none" w:sz="0" w:space="0" w:color="auto"/>
        <w:right w:val="none" w:sz="0" w:space="0" w:color="auto"/>
      </w:divBdr>
      <w:divsChild>
        <w:div w:id="101462821">
          <w:marLeft w:val="0"/>
          <w:marRight w:val="0"/>
          <w:marTop w:val="0"/>
          <w:marBottom w:val="0"/>
          <w:divBdr>
            <w:top w:val="none" w:sz="0" w:space="0" w:color="auto"/>
            <w:left w:val="none" w:sz="0" w:space="0" w:color="auto"/>
            <w:bottom w:val="none" w:sz="0" w:space="0" w:color="auto"/>
            <w:right w:val="none" w:sz="0" w:space="0" w:color="auto"/>
          </w:divBdr>
          <w:divsChild>
            <w:div w:id="1888225881">
              <w:marLeft w:val="0"/>
              <w:marRight w:val="0"/>
              <w:marTop w:val="0"/>
              <w:marBottom w:val="0"/>
              <w:divBdr>
                <w:top w:val="none" w:sz="0" w:space="0" w:color="auto"/>
                <w:left w:val="none" w:sz="0" w:space="0" w:color="auto"/>
                <w:bottom w:val="none" w:sz="0" w:space="0" w:color="auto"/>
                <w:right w:val="none" w:sz="0" w:space="0" w:color="auto"/>
              </w:divBdr>
              <w:divsChild>
                <w:div w:id="175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5338">
      <w:bodyDiv w:val="1"/>
      <w:marLeft w:val="0"/>
      <w:marRight w:val="0"/>
      <w:marTop w:val="0"/>
      <w:marBottom w:val="0"/>
      <w:divBdr>
        <w:top w:val="none" w:sz="0" w:space="0" w:color="auto"/>
        <w:left w:val="none" w:sz="0" w:space="0" w:color="auto"/>
        <w:bottom w:val="none" w:sz="0" w:space="0" w:color="auto"/>
        <w:right w:val="none" w:sz="0" w:space="0" w:color="auto"/>
      </w:divBdr>
      <w:divsChild>
        <w:div w:id="1534995064">
          <w:marLeft w:val="0"/>
          <w:marRight w:val="0"/>
          <w:marTop w:val="0"/>
          <w:marBottom w:val="0"/>
          <w:divBdr>
            <w:top w:val="none" w:sz="0" w:space="0" w:color="auto"/>
            <w:left w:val="none" w:sz="0" w:space="0" w:color="auto"/>
            <w:bottom w:val="none" w:sz="0" w:space="0" w:color="auto"/>
            <w:right w:val="none" w:sz="0" w:space="0" w:color="auto"/>
          </w:divBdr>
          <w:divsChild>
            <w:div w:id="516580875">
              <w:marLeft w:val="0"/>
              <w:marRight w:val="0"/>
              <w:marTop w:val="0"/>
              <w:marBottom w:val="0"/>
              <w:divBdr>
                <w:top w:val="none" w:sz="0" w:space="0" w:color="auto"/>
                <w:left w:val="none" w:sz="0" w:space="0" w:color="auto"/>
                <w:bottom w:val="none" w:sz="0" w:space="0" w:color="auto"/>
                <w:right w:val="none" w:sz="0" w:space="0" w:color="auto"/>
              </w:divBdr>
              <w:divsChild>
                <w:div w:id="432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5196">
      <w:bodyDiv w:val="1"/>
      <w:marLeft w:val="0"/>
      <w:marRight w:val="0"/>
      <w:marTop w:val="0"/>
      <w:marBottom w:val="0"/>
      <w:divBdr>
        <w:top w:val="none" w:sz="0" w:space="0" w:color="auto"/>
        <w:left w:val="none" w:sz="0" w:space="0" w:color="auto"/>
        <w:bottom w:val="none" w:sz="0" w:space="0" w:color="auto"/>
        <w:right w:val="none" w:sz="0" w:space="0" w:color="auto"/>
      </w:divBdr>
      <w:divsChild>
        <w:div w:id="155264929">
          <w:marLeft w:val="0"/>
          <w:marRight w:val="0"/>
          <w:marTop w:val="0"/>
          <w:marBottom w:val="0"/>
          <w:divBdr>
            <w:top w:val="none" w:sz="0" w:space="0" w:color="auto"/>
            <w:left w:val="none" w:sz="0" w:space="0" w:color="auto"/>
            <w:bottom w:val="none" w:sz="0" w:space="0" w:color="auto"/>
            <w:right w:val="none" w:sz="0" w:space="0" w:color="auto"/>
          </w:divBdr>
          <w:divsChild>
            <w:div w:id="1248535651">
              <w:marLeft w:val="0"/>
              <w:marRight w:val="0"/>
              <w:marTop w:val="0"/>
              <w:marBottom w:val="0"/>
              <w:divBdr>
                <w:top w:val="none" w:sz="0" w:space="0" w:color="auto"/>
                <w:left w:val="none" w:sz="0" w:space="0" w:color="auto"/>
                <w:bottom w:val="none" w:sz="0" w:space="0" w:color="auto"/>
                <w:right w:val="none" w:sz="0" w:space="0" w:color="auto"/>
              </w:divBdr>
              <w:divsChild>
                <w:div w:id="19189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882">
      <w:bodyDiv w:val="1"/>
      <w:marLeft w:val="0"/>
      <w:marRight w:val="0"/>
      <w:marTop w:val="0"/>
      <w:marBottom w:val="0"/>
      <w:divBdr>
        <w:top w:val="none" w:sz="0" w:space="0" w:color="auto"/>
        <w:left w:val="none" w:sz="0" w:space="0" w:color="auto"/>
        <w:bottom w:val="none" w:sz="0" w:space="0" w:color="auto"/>
        <w:right w:val="none" w:sz="0" w:space="0" w:color="auto"/>
      </w:divBdr>
      <w:divsChild>
        <w:div w:id="1060205775">
          <w:marLeft w:val="0"/>
          <w:marRight w:val="0"/>
          <w:marTop w:val="0"/>
          <w:marBottom w:val="0"/>
          <w:divBdr>
            <w:top w:val="none" w:sz="0" w:space="0" w:color="auto"/>
            <w:left w:val="none" w:sz="0" w:space="0" w:color="auto"/>
            <w:bottom w:val="none" w:sz="0" w:space="0" w:color="auto"/>
            <w:right w:val="none" w:sz="0" w:space="0" w:color="auto"/>
          </w:divBdr>
          <w:divsChild>
            <w:div w:id="388655740">
              <w:marLeft w:val="0"/>
              <w:marRight w:val="0"/>
              <w:marTop w:val="0"/>
              <w:marBottom w:val="0"/>
              <w:divBdr>
                <w:top w:val="none" w:sz="0" w:space="0" w:color="auto"/>
                <w:left w:val="none" w:sz="0" w:space="0" w:color="auto"/>
                <w:bottom w:val="none" w:sz="0" w:space="0" w:color="auto"/>
                <w:right w:val="none" w:sz="0" w:space="0" w:color="auto"/>
              </w:divBdr>
              <w:divsChild>
                <w:div w:id="16228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4093">
      <w:bodyDiv w:val="1"/>
      <w:marLeft w:val="0"/>
      <w:marRight w:val="0"/>
      <w:marTop w:val="0"/>
      <w:marBottom w:val="0"/>
      <w:divBdr>
        <w:top w:val="none" w:sz="0" w:space="0" w:color="auto"/>
        <w:left w:val="none" w:sz="0" w:space="0" w:color="auto"/>
        <w:bottom w:val="none" w:sz="0" w:space="0" w:color="auto"/>
        <w:right w:val="none" w:sz="0" w:space="0" w:color="auto"/>
      </w:divBdr>
      <w:divsChild>
        <w:div w:id="1294943917">
          <w:marLeft w:val="0"/>
          <w:marRight w:val="0"/>
          <w:marTop w:val="0"/>
          <w:marBottom w:val="0"/>
          <w:divBdr>
            <w:top w:val="none" w:sz="0" w:space="0" w:color="auto"/>
            <w:left w:val="none" w:sz="0" w:space="0" w:color="auto"/>
            <w:bottom w:val="none" w:sz="0" w:space="0" w:color="auto"/>
            <w:right w:val="none" w:sz="0" w:space="0" w:color="auto"/>
          </w:divBdr>
          <w:divsChild>
            <w:div w:id="89590942">
              <w:marLeft w:val="0"/>
              <w:marRight w:val="0"/>
              <w:marTop w:val="0"/>
              <w:marBottom w:val="0"/>
              <w:divBdr>
                <w:top w:val="none" w:sz="0" w:space="0" w:color="auto"/>
                <w:left w:val="none" w:sz="0" w:space="0" w:color="auto"/>
                <w:bottom w:val="none" w:sz="0" w:space="0" w:color="auto"/>
                <w:right w:val="none" w:sz="0" w:space="0" w:color="auto"/>
              </w:divBdr>
              <w:divsChild>
                <w:div w:id="1549418784">
                  <w:marLeft w:val="0"/>
                  <w:marRight w:val="0"/>
                  <w:marTop w:val="0"/>
                  <w:marBottom w:val="0"/>
                  <w:divBdr>
                    <w:top w:val="none" w:sz="0" w:space="0" w:color="auto"/>
                    <w:left w:val="none" w:sz="0" w:space="0" w:color="auto"/>
                    <w:bottom w:val="none" w:sz="0" w:space="0" w:color="auto"/>
                    <w:right w:val="none" w:sz="0" w:space="0" w:color="auto"/>
                  </w:divBdr>
                </w:div>
              </w:divsChild>
            </w:div>
            <w:div w:id="215824932">
              <w:marLeft w:val="0"/>
              <w:marRight w:val="0"/>
              <w:marTop w:val="0"/>
              <w:marBottom w:val="0"/>
              <w:divBdr>
                <w:top w:val="none" w:sz="0" w:space="0" w:color="auto"/>
                <w:left w:val="none" w:sz="0" w:space="0" w:color="auto"/>
                <w:bottom w:val="none" w:sz="0" w:space="0" w:color="auto"/>
                <w:right w:val="none" w:sz="0" w:space="0" w:color="auto"/>
              </w:divBdr>
              <w:divsChild>
                <w:div w:id="246228274">
                  <w:marLeft w:val="0"/>
                  <w:marRight w:val="0"/>
                  <w:marTop w:val="0"/>
                  <w:marBottom w:val="0"/>
                  <w:divBdr>
                    <w:top w:val="none" w:sz="0" w:space="0" w:color="auto"/>
                    <w:left w:val="none" w:sz="0" w:space="0" w:color="auto"/>
                    <w:bottom w:val="none" w:sz="0" w:space="0" w:color="auto"/>
                    <w:right w:val="none" w:sz="0" w:space="0" w:color="auto"/>
                  </w:divBdr>
                </w:div>
              </w:divsChild>
            </w:div>
            <w:div w:id="1327248716">
              <w:marLeft w:val="0"/>
              <w:marRight w:val="0"/>
              <w:marTop w:val="0"/>
              <w:marBottom w:val="0"/>
              <w:divBdr>
                <w:top w:val="none" w:sz="0" w:space="0" w:color="auto"/>
                <w:left w:val="none" w:sz="0" w:space="0" w:color="auto"/>
                <w:bottom w:val="none" w:sz="0" w:space="0" w:color="auto"/>
                <w:right w:val="none" w:sz="0" w:space="0" w:color="auto"/>
              </w:divBdr>
              <w:divsChild>
                <w:div w:id="1927300253">
                  <w:marLeft w:val="0"/>
                  <w:marRight w:val="0"/>
                  <w:marTop w:val="0"/>
                  <w:marBottom w:val="0"/>
                  <w:divBdr>
                    <w:top w:val="none" w:sz="0" w:space="0" w:color="auto"/>
                    <w:left w:val="none" w:sz="0" w:space="0" w:color="auto"/>
                    <w:bottom w:val="none" w:sz="0" w:space="0" w:color="auto"/>
                    <w:right w:val="none" w:sz="0" w:space="0" w:color="auto"/>
                  </w:divBdr>
                </w:div>
              </w:divsChild>
            </w:div>
            <w:div w:id="1345208381">
              <w:marLeft w:val="0"/>
              <w:marRight w:val="0"/>
              <w:marTop w:val="0"/>
              <w:marBottom w:val="0"/>
              <w:divBdr>
                <w:top w:val="none" w:sz="0" w:space="0" w:color="auto"/>
                <w:left w:val="none" w:sz="0" w:space="0" w:color="auto"/>
                <w:bottom w:val="none" w:sz="0" w:space="0" w:color="auto"/>
                <w:right w:val="none" w:sz="0" w:space="0" w:color="auto"/>
              </w:divBdr>
              <w:divsChild>
                <w:div w:id="647437503">
                  <w:marLeft w:val="0"/>
                  <w:marRight w:val="0"/>
                  <w:marTop w:val="0"/>
                  <w:marBottom w:val="0"/>
                  <w:divBdr>
                    <w:top w:val="none" w:sz="0" w:space="0" w:color="auto"/>
                    <w:left w:val="none" w:sz="0" w:space="0" w:color="auto"/>
                    <w:bottom w:val="none" w:sz="0" w:space="0" w:color="auto"/>
                    <w:right w:val="none" w:sz="0" w:space="0" w:color="auto"/>
                  </w:divBdr>
                </w:div>
              </w:divsChild>
            </w:div>
            <w:div w:id="1921407875">
              <w:marLeft w:val="0"/>
              <w:marRight w:val="0"/>
              <w:marTop w:val="0"/>
              <w:marBottom w:val="0"/>
              <w:divBdr>
                <w:top w:val="none" w:sz="0" w:space="0" w:color="auto"/>
                <w:left w:val="none" w:sz="0" w:space="0" w:color="auto"/>
                <w:bottom w:val="none" w:sz="0" w:space="0" w:color="auto"/>
                <w:right w:val="none" w:sz="0" w:space="0" w:color="auto"/>
              </w:divBdr>
              <w:divsChild>
                <w:div w:id="145783272">
                  <w:marLeft w:val="0"/>
                  <w:marRight w:val="0"/>
                  <w:marTop w:val="0"/>
                  <w:marBottom w:val="0"/>
                  <w:divBdr>
                    <w:top w:val="none" w:sz="0" w:space="0" w:color="auto"/>
                    <w:left w:val="none" w:sz="0" w:space="0" w:color="auto"/>
                    <w:bottom w:val="none" w:sz="0" w:space="0" w:color="auto"/>
                    <w:right w:val="none" w:sz="0" w:space="0" w:color="auto"/>
                  </w:divBdr>
                </w:div>
              </w:divsChild>
            </w:div>
            <w:div w:id="1934707060">
              <w:marLeft w:val="0"/>
              <w:marRight w:val="0"/>
              <w:marTop w:val="0"/>
              <w:marBottom w:val="0"/>
              <w:divBdr>
                <w:top w:val="none" w:sz="0" w:space="0" w:color="auto"/>
                <w:left w:val="none" w:sz="0" w:space="0" w:color="auto"/>
                <w:bottom w:val="none" w:sz="0" w:space="0" w:color="auto"/>
                <w:right w:val="none" w:sz="0" w:space="0" w:color="auto"/>
              </w:divBdr>
              <w:divsChild>
                <w:div w:id="2118330110">
                  <w:marLeft w:val="0"/>
                  <w:marRight w:val="0"/>
                  <w:marTop w:val="0"/>
                  <w:marBottom w:val="0"/>
                  <w:divBdr>
                    <w:top w:val="none" w:sz="0" w:space="0" w:color="auto"/>
                    <w:left w:val="none" w:sz="0" w:space="0" w:color="auto"/>
                    <w:bottom w:val="none" w:sz="0" w:space="0" w:color="auto"/>
                    <w:right w:val="none" w:sz="0" w:space="0" w:color="auto"/>
                  </w:divBdr>
                </w:div>
              </w:divsChild>
            </w:div>
            <w:div w:id="1973636074">
              <w:marLeft w:val="0"/>
              <w:marRight w:val="0"/>
              <w:marTop w:val="0"/>
              <w:marBottom w:val="0"/>
              <w:divBdr>
                <w:top w:val="none" w:sz="0" w:space="0" w:color="auto"/>
                <w:left w:val="none" w:sz="0" w:space="0" w:color="auto"/>
                <w:bottom w:val="none" w:sz="0" w:space="0" w:color="auto"/>
                <w:right w:val="none" w:sz="0" w:space="0" w:color="auto"/>
              </w:divBdr>
              <w:divsChild>
                <w:div w:id="1238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7061">
      <w:bodyDiv w:val="1"/>
      <w:marLeft w:val="0"/>
      <w:marRight w:val="0"/>
      <w:marTop w:val="0"/>
      <w:marBottom w:val="0"/>
      <w:divBdr>
        <w:top w:val="none" w:sz="0" w:space="0" w:color="auto"/>
        <w:left w:val="none" w:sz="0" w:space="0" w:color="auto"/>
        <w:bottom w:val="none" w:sz="0" w:space="0" w:color="auto"/>
        <w:right w:val="none" w:sz="0" w:space="0" w:color="auto"/>
      </w:divBdr>
      <w:divsChild>
        <w:div w:id="1673140849">
          <w:marLeft w:val="0"/>
          <w:marRight w:val="0"/>
          <w:marTop w:val="0"/>
          <w:marBottom w:val="0"/>
          <w:divBdr>
            <w:top w:val="none" w:sz="0" w:space="0" w:color="auto"/>
            <w:left w:val="none" w:sz="0" w:space="0" w:color="auto"/>
            <w:bottom w:val="none" w:sz="0" w:space="0" w:color="auto"/>
            <w:right w:val="none" w:sz="0" w:space="0" w:color="auto"/>
          </w:divBdr>
          <w:divsChild>
            <w:div w:id="1482845726">
              <w:marLeft w:val="0"/>
              <w:marRight w:val="0"/>
              <w:marTop w:val="0"/>
              <w:marBottom w:val="0"/>
              <w:divBdr>
                <w:top w:val="none" w:sz="0" w:space="0" w:color="auto"/>
                <w:left w:val="none" w:sz="0" w:space="0" w:color="auto"/>
                <w:bottom w:val="none" w:sz="0" w:space="0" w:color="auto"/>
                <w:right w:val="none" w:sz="0" w:space="0" w:color="auto"/>
              </w:divBdr>
              <w:divsChild>
                <w:div w:id="1183278631">
                  <w:marLeft w:val="0"/>
                  <w:marRight w:val="0"/>
                  <w:marTop w:val="0"/>
                  <w:marBottom w:val="0"/>
                  <w:divBdr>
                    <w:top w:val="none" w:sz="0" w:space="0" w:color="auto"/>
                    <w:left w:val="none" w:sz="0" w:space="0" w:color="auto"/>
                    <w:bottom w:val="none" w:sz="0" w:space="0" w:color="auto"/>
                    <w:right w:val="none" w:sz="0" w:space="0" w:color="auto"/>
                  </w:divBdr>
                </w:div>
                <w:div w:id="2049376945">
                  <w:marLeft w:val="0"/>
                  <w:marRight w:val="0"/>
                  <w:marTop w:val="0"/>
                  <w:marBottom w:val="0"/>
                  <w:divBdr>
                    <w:top w:val="none" w:sz="0" w:space="0" w:color="auto"/>
                    <w:left w:val="none" w:sz="0" w:space="0" w:color="auto"/>
                    <w:bottom w:val="none" w:sz="0" w:space="0" w:color="auto"/>
                    <w:right w:val="none" w:sz="0" w:space="0" w:color="auto"/>
                  </w:divBdr>
                </w:div>
              </w:divsChild>
            </w:div>
            <w:div w:id="1708868785">
              <w:marLeft w:val="0"/>
              <w:marRight w:val="0"/>
              <w:marTop w:val="0"/>
              <w:marBottom w:val="0"/>
              <w:divBdr>
                <w:top w:val="none" w:sz="0" w:space="0" w:color="auto"/>
                <w:left w:val="none" w:sz="0" w:space="0" w:color="auto"/>
                <w:bottom w:val="none" w:sz="0" w:space="0" w:color="auto"/>
                <w:right w:val="none" w:sz="0" w:space="0" w:color="auto"/>
              </w:divBdr>
              <w:divsChild>
                <w:div w:id="212085335">
                  <w:marLeft w:val="0"/>
                  <w:marRight w:val="0"/>
                  <w:marTop w:val="0"/>
                  <w:marBottom w:val="0"/>
                  <w:divBdr>
                    <w:top w:val="none" w:sz="0" w:space="0" w:color="auto"/>
                    <w:left w:val="none" w:sz="0" w:space="0" w:color="auto"/>
                    <w:bottom w:val="none" w:sz="0" w:space="0" w:color="auto"/>
                    <w:right w:val="none" w:sz="0" w:space="0" w:color="auto"/>
                  </w:divBdr>
                </w:div>
              </w:divsChild>
            </w:div>
            <w:div w:id="1839693268">
              <w:marLeft w:val="0"/>
              <w:marRight w:val="0"/>
              <w:marTop w:val="0"/>
              <w:marBottom w:val="0"/>
              <w:divBdr>
                <w:top w:val="none" w:sz="0" w:space="0" w:color="auto"/>
                <w:left w:val="none" w:sz="0" w:space="0" w:color="auto"/>
                <w:bottom w:val="none" w:sz="0" w:space="0" w:color="auto"/>
                <w:right w:val="none" w:sz="0" w:space="0" w:color="auto"/>
              </w:divBdr>
              <w:divsChild>
                <w:div w:id="1630475001">
                  <w:marLeft w:val="0"/>
                  <w:marRight w:val="0"/>
                  <w:marTop w:val="0"/>
                  <w:marBottom w:val="0"/>
                  <w:divBdr>
                    <w:top w:val="none" w:sz="0" w:space="0" w:color="auto"/>
                    <w:left w:val="none" w:sz="0" w:space="0" w:color="auto"/>
                    <w:bottom w:val="none" w:sz="0" w:space="0" w:color="auto"/>
                    <w:right w:val="none" w:sz="0" w:space="0" w:color="auto"/>
                  </w:divBdr>
                </w:div>
              </w:divsChild>
            </w:div>
            <w:div w:id="2085905163">
              <w:marLeft w:val="0"/>
              <w:marRight w:val="0"/>
              <w:marTop w:val="0"/>
              <w:marBottom w:val="0"/>
              <w:divBdr>
                <w:top w:val="none" w:sz="0" w:space="0" w:color="auto"/>
                <w:left w:val="none" w:sz="0" w:space="0" w:color="auto"/>
                <w:bottom w:val="none" w:sz="0" w:space="0" w:color="auto"/>
                <w:right w:val="none" w:sz="0" w:space="0" w:color="auto"/>
              </w:divBdr>
              <w:divsChild>
                <w:div w:id="8921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7117">
          <w:marLeft w:val="0"/>
          <w:marRight w:val="0"/>
          <w:marTop w:val="0"/>
          <w:marBottom w:val="0"/>
          <w:divBdr>
            <w:top w:val="none" w:sz="0" w:space="0" w:color="auto"/>
            <w:left w:val="none" w:sz="0" w:space="0" w:color="auto"/>
            <w:bottom w:val="none" w:sz="0" w:space="0" w:color="auto"/>
            <w:right w:val="none" w:sz="0" w:space="0" w:color="auto"/>
          </w:divBdr>
          <w:divsChild>
            <w:div w:id="914360490">
              <w:marLeft w:val="0"/>
              <w:marRight w:val="0"/>
              <w:marTop w:val="0"/>
              <w:marBottom w:val="0"/>
              <w:divBdr>
                <w:top w:val="none" w:sz="0" w:space="0" w:color="auto"/>
                <w:left w:val="none" w:sz="0" w:space="0" w:color="auto"/>
                <w:bottom w:val="none" w:sz="0" w:space="0" w:color="auto"/>
                <w:right w:val="none" w:sz="0" w:space="0" w:color="auto"/>
              </w:divBdr>
              <w:divsChild>
                <w:div w:id="1421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29519">
      <w:bodyDiv w:val="1"/>
      <w:marLeft w:val="0"/>
      <w:marRight w:val="0"/>
      <w:marTop w:val="0"/>
      <w:marBottom w:val="0"/>
      <w:divBdr>
        <w:top w:val="none" w:sz="0" w:space="0" w:color="auto"/>
        <w:left w:val="none" w:sz="0" w:space="0" w:color="auto"/>
        <w:bottom w:val="none" w:sz="0" w:space="0" w:color="auto"/>
        <w:right w:val="none" w:sz="0" w:space="0" w:color="auto"/>
      </w:divBdr>
      <w:divsChild>
        <w:div w:id="344332776">
          <w:marLeft w:val="0"/>
          <w:marRight w:val="0"/>
          <w:marTop w:val="0"/>
          <w:marBottom w:val="0"/>
          <w:divBdr>
            <w:top w:val="none" w:sz="0" w:space="0" w:color="auto"/>
            <w:left w:val="none" w:sz="0" w:space="0" w:color="auto"/>
            <w:bottom w:val="none" w:sz="0" w:space="0" w:color="auto"/>
            <w:right w:val="none" w:sz="0" w:space="0" w:color="auto"/>
          </w:divBdr>
          <w:divsChild>
            <w:div w:id="920913374">
              <w:marLeft w:val="0"/>
              <w:marRight w:val="0"/>
              <w:marTop w:val="0"/>
              <w:marBottom w:val="0"/>
              <w:divBdr>
                <w:top w:val="none" w:sz="0" w:space="0" w:color="auto"/>
                <w:left w:val="none" w:sz="0" w:space="0" w:color="auto"/>
                <w:bottom w:val="none" w:sz="0" w:space="0" w:color="auto"/>
                <w:right w:val="none" w:sz="0" w:space="0" w:color="auto"/>
              </w:divBdr>
              <w:divsChild>
                <w:div w:id="2006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2656">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AFA9531-4020-4B41-B012-A94798566C56}"/>
</file>

<file path=customXml/itemProps2.xml><?xml version="1.0" encoding="utf-8"?>
<ds:datastoreItem xmlns:ds="http://schemas.openxmlformats.org/officeDocument/2006/customXml" ds:itemID="{6707AD72-AE11-4AAE-8E91-347A429989BF}"/>
</file>

<file path=customXml/itemProps3.xml><?xml version="1.0" encoding="utf-8"?>
<ds:datastoreItem xmlns:ds="http://schemas.openxmlformats.org/officeDocument/2006/customXml" ds:itemID="{6AEA15E1-E06E-45D6-BBC2-0FF5099012C5}"/>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4292</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