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5E4" w:rsidRDefault="009D45E4" w:rsidP="009D45E4">
      <w:pPr>
        <w:tabs>
          <w:tab w:val="left" w:pos="4500"/>
        </w:tabs>
        <w:autoSpaceDE w:val="0"/>
        <w:autoSpaceDN w:val="0"/>
        <w:adjustRightInd w:val="0"/>
        <w:jc w:val="center"/>
        <w:rPr>
          <w:rFonts w:cs="Arial"/>
          <w:b/>
          <w:bCs/>
          <w:sz w:val="28"/>
          <w:szCs w:val="28"/>
        </w:rPr>
      </w:pPr>
      <w:bookmarkStart w:id="0" w:name="_GoBack"/>
      <w:bookmarkEnd w:id="0"/>
      <w:r>
        <w:rPr>
          <w:rFonts w:cs="Arial"/>
          <w:b/>
          <w:bCs/>
          <w:sz w:val="28"/>
          <w:szCs w:val="28"/>
        </w:rPr>
        <w:t>N</w:t>
      </w:r>
      <w:r>
        <w:rPr>
          <w:rFonts w:cs="Arial"/>
          <w:b/>
          <w:bCs/>
          <w:sz w:val="28"/>
          <w:szCs w:val="28"/>
          <w:vertAlign w:val="superscript"/>
        </w:rPr>
        <w:t>o</w:t>
      </w:r>
      <w:r>
        <w:rPr>
          <w:rFonts w:cs="Arial"/>
          <w:b/>
          <w:bCs/>
          <w:sz w:val="28"/>
          <w:szCs w:val="28"/>
        </w:rPr>
        <w:t xml:space="preserve"> 6593</w:t>
      </w:r>
    </w:p>
    <w:p w:rsidR="009D45E4" w:rsidRDefault="009D45E4" w:rsidP="009D45E4">
      <w:pPr>
        <w:autoSpaceDE w:val="0"/>
        <w:autoSpaceDN w:val="0"/>
        <w:adjustRightInd w:val="0"/>
        <w:jc w:val="center"/>
        <w:rPr>
          <w:rFonts w:cs="Arial"/>
          <w:b/>
          <w:bCs/>
          <w:sz w:val="24"/>
          <w:szCs w:val="24"/>
        </w:rPr>
      </w:pPr>
    </w:p>
    <w:p w:rsidR="009D45E4" w:rsidRDefault="009D45E4" w:rsidP="009D45E4">
      <w:pPr>
        <w:autoSpaceDE w:val="0"/>
        <w:autoSpaceDN w:val="0"/>
        <w:adjustRightInd w:val="0"/>
        <w:jc w:val="center"/>
        <w:rPr>
          <w:rFonts w:cs="Arial"/>
          <w:bCs/>
          <w:sz w:val="28"/>
          <w:szCs w:val="28"/>
        </w:rPr>
      </w:pPr>
      <w:r>
        <w:rPr>
          <w:rFonts w:cs="Arial"/>
          <w:bCs/>
          <w:sz w:val="28"/>
          <w:szCs w:val="28"/>
        </w:rPr>
        <w:t>CHAMBRE DES DEPUTES</w:t>
      </w:r>
    </w:p>
    <w:p w:rsidR="009D45E4" w:rsidRDefault="009D45E4" w:rsidP="009D45E4">
      <w:pPr>
        <w:autoSpaceDE w:val="0"/>
        <w:autoSpaceDN w:val="0"/>
        <w:adjustRightInd w:val="0"/>
        <w:jc w:val="center"/>
        <w:rPr>
          <w:rFonts w:cs="Arial"/>
          <w:bCs/>
          <w:sz w:val="24"/>
          <w:szCs w:val="24"/>
        </w:rPr>
      </w:pPr>
    </w:p>
    <w:p w:rsidR="009D45E4" w:rsidRDefault="009D45E4" w:rsidP="009D45E4">
      <w:pPr>
        <w:autoSpaceDE w:val="0"/>
        <w:autoSpaceDN w:val="0"/>
        <w:adjustRightInd w:val="0"/>
        <w:jc w:val="center"/>
        <w:rPr>
          <w:rFonts w:cs="Arial"/>
          <w:bCs/>
          <w:sz w:val="24"/>
          <w:szCs w:val="24"/>
        </w:rPr>
      </w:pPr>
      <w:r>
        <w:rPr>
          <w:rFonts w:cs="Arial"/>
          <w:bCs/>
          <w:sz w:val="24"/>
          <w:szCs w:val="24"/>
        </w:rPr>
        <w:t>Session ordinaire 2016-2017</w:t>
      </w:r>
    </w:p>
    <w:p w:rsidR="009D45E4" w:rsidRDefault="009D45E4" w:rsidP="009D45E4">
      <w:pPr>
        <w:pBdr>
          <w:bottom w:val="thinThickLargeGap" w:sz="24" w:space="1" w:color="auto"/>
        </w:pBdr>
        <w:autoSpaceDE w:val="0"/>
        <w:autoSpaceDN w:val="0"/>
        <w:adjustRightInd w:val="0"/>
        <w:rPr>
          <w:rFonts w:cs="Arial"/>
          <w:b/>
          <w:bCs/>
          <w:sz w:val="24"/>
          <w:szCs w:val="24"/>
        </w:rPr>
      </w:pPr>
    </w:p>
    <w:p w:rsidR="009D45E4" w:rsidRDefault="009D45E4" w:rsidP="009D45E4">
      <w:pPr>
        <w:autoSpaceDE w:val="0"/>
        <w:autoSpaceDN w:val="0"/>
        <w:adjustRightInd w:val="0"/>
        <w:rPr>
          <w:rFonts w:cs="Arial"/>
          <w:b/>
          <w:bCs/>
          <w:sz w:val="24"/>
          <w:szCs w:val="24"/>
        </w:rPr>
      </w:pPr>
    </w:p>
    <w:p w:rsidR="009D45E4" w:rsidRDefault="009D45E4" w:rsidP="009D45E4">
      <w:pPr>
        <w:ind w:right="-108"/>
        <w:jc w:val="center"/>
        <w:rPr>
          <w:rFonts w:cs="Arial"/>
          <w:b/>
          <w:sz w:val="24"/>
          <w:szCs w:val="24"/>
        </w:rPr>
      </w:pPr>
    </w:p>
    <w:p w:rsidR="009D45E4" w:rsidRDefault="009D45E4" w:rsidP="009D45E4">
      <w:pPr>
        <w:tabs>
          <w:tab w:val="left" w:pos="1701"/>
        </w:tabs>
        <w:autoSpaceDE w:val="0"/>
        <w:autoSpaceDN w:val="0"/>
        <w:adjustRightInd w:val="0"/>
        <w:ind w:left="1440" w:right="-2" w:hanging="1440"/>
        <w:jc w:val="center"/>
        <w:rPr>
          <w:rFonts w:cs="Arial"/>
          <w:b/>
          <w:sz w:val="28"/>
          <w:szCs w:val="28"/>
        </w:rPr>
      </w:pPr>
      <w:r>
        <w:rPr>
          <w:rFonts w:cs="Arial"/>
          <w:b/>
          <w:sz w:val="28"/>
          <w:szCs w:val="28"/>
        </w:rPr>
        <w:t>PROJET DE LOI</w:t>
      </w:r>
    </w:p>
    <w:p w:rsidR="009D45E4" w:rsidRPr="00A3665A" w:rsidRDefault="009D45E4" w:rsidP="009D45E4">
      <w:pPr>
        <w:rPr>
          <w:rFonts w:cs="Arial"/>
          <w:b/>
          <w:sz w:val="24"/>
          <w:szCs w:val="24"/>
        </w:rPr>
      </w:pPr>
    </w:p>
    <w:p w:rsidR="009D45E4" w:rsidRPr="00A3665A" w:rsidRDefault="009D45E4" w:rsidP="009D45E4">
      <w:pPr>
        <w:pStyle w:val="Default"/>
        <w:jc w:val="center"/>
        <w:rPr>
          <w:rFonts w:ascii="Arial" w:hAnsi="Arial" w:cs="Arial"/>
          <w:b/>
          <w:bCs/>
        </w:rPr>
      </w:pPr>
      <w:r>
        <w:rPr>
          <w:rFonts w:ascii="Arial" w:hAnsi="Arial" w:cs="Arial"/>
          <w:b/>
          <w:bCs/>
        </w:rPr>
        <w:t>portant modification</w:t>
      </w:r>
    </w:p>
    <w:p w:rsidR="009D45E4" w:rsidRPr="00A3665A" w:rsidRDefault="009D45E4" w:rsidP="009D45E4">
      <w:pPr>
        <w:pStyle w:val="Default"/>
        <w:jc w:val="center"/>
        <w:rPr>
          <w:rFonts w:ascii="Arial" w:hAnsi="Arial" w:cs="Arial"/>
        </w:rPr>
      </w:pPr>
    </w:p>
    <w:p w:rsidR="009D45E4" w:rsidRPr="00A3665A" w:rsidRDefault="009D45E4" w:rsidP="009D45E4">
      <w:pPr>
        <w:pStyle w:val="Pa5"/>
        <w:spacing w:line="240" w:lineRule="auto"/>
        <w:jc w:val="both"/>
        <w:rPr>
          <w:rFonts w:ascii="Arial" w:hAnsi="Arial" w:cs="Arial"/>
          <w:color w:val="000000"/>
        </w:rPr>
      </w:pPr>
      <w:r w:rsidRPr="00A3665A">
        <w:rPr>
          <w:rFonts w:ascii="Arial" w:hAnsi="Arial" w:cs="Arial"/>
          <w:b/>
          <w:bCs/>
          <w:color w:val="000000"/>
        </w:rPr>
        <w:t>1. de la loi modifiée du 16 juin 2004 portant réorganisation du centre socio-éducatif de l’Etat ;</w:t>
      </w:r>
    </w:p>
    <w:p w:rsidR="009D45E4" w:rsidRPr="00A3665A" w:rsidRDefault="009D45E4" w:rsidP="009D45E4">
      <w:pPr>
        <w:pStyle w:val="Pa5"/>
        <w:spacing w:line="240" w:lineRule="auto"/>
        <w:jc w:val="both"/>
        <w:rPr>
          <w:rFonts w:ascii="Arial" w:hAnsi="Arial" w:cs="Arial"/>
          <w:color w:val="000000"/>
        </w:rPr>
      </w:pPr>
      <w:r w:rsidRPr="00A3665A">
        <w:rPr>
          <w:rFonts w:ascii="Arial" w:hAnsi="Arial" w:cs="Arial"/>
          <w:b/>
          <w:bCs/>
          <w:color w:val="000000"/>
        </w:rPr>
        <w:t>2. de la loi modifiée du 29 juin 2005 fixant les cadres du personnel des établissements d’enseignement secondaire et secondaire technique ;</w:t>
      </w:r>
    </w:p>
    <w:p w:rsidR="009D45E4" w:rsidRPr="00A3665A" w:rsidRDefault="009D45E4" w:rsidP="009D45E4">
      <w:pPr>
        <w:pStyle w:val="Pa5"/>
        <w:spacing w:line="240" w:lineRule="auto"/>
        <w:jc w:val="both"/>
        <w:rPr>
          <w:rFonts w:ascii="Arial" w:hAnsi="Arial" w:cs="Arial"/>
          <w:b/>
          <w:bCs/>
          <w:color w:val="000000"/>
        </w:rPr>
      </w:pPr>
      <w:r w:rsidRPr="00A3665A">
        <w:rPr>
          <w:rFonts w:ascii="Arial" w:hAnsi="Arial" w:cs="Arial"/>
          <w:b/>
          <w:bCs/>
          <w:color w:val="000000"/>
        </w:rPr>
        <w:t>3. de la loi modifiée du 23 juillet 1952 concernant l’organisation militaire ;</w:t>
      </w:r>
    </w:p>
    <w:p w:rsidR="009D45E4" w:rsidRPr="009D45E4" w:rsidRDefault="009D45E4" w:rsidP="009D45E4">
      <w:pPr>
        <w:rPr>
          <w:b/>
          <w:sz w:val="24"/>
          <w:szCs w:val="24"/>
        </w:rPr>
      </w:pPr>
      <w:r w:rsidRPr="00A3665A">
        <w:rPr>
          <w:b/>
          <w:sz w:val="24"/>
          <w:szCs w:val="24"/>
        </w:rPr>
        <w:t>4. de l’article 32 du Livre 1</w:t>
      </w:r>
      <w:r w:rsidRPr="00A3665A">
        <w:rPr>
          <w:b/>
          <w:sz w:val="24"/>
          <w:szCs w:val="24"/>
          <w:vertAlign w:val="superscript"/>
        </w:rPr>
        <w:t>er</w:t>
      </w:r>
      <w:r>
        <w:rPr>
          <w:b/>
          <w:sz w:val="24"/>
          <w:szCs w:val="24"/>
        </w:rPr>
        <w:t xml:space="preserve"> du code de la sécurité sociale</w:t>
      </w:r>
    </w:p>
    <w:p w:rsidR="009D45E4" w:rsidRDefault="009D45E4" w:rsidP="009D45E4">
      <w:pPr>
        <w:pStyle w:val="NormalGene"/>
        <w:rPr>
          <w:rFonts w:ascii="Arial" w:hAnsi="Arial" w:cs="Arial"/>
          <w:szCs w:val="22"/>
        </w:rPr>
      </w:pPr>
    </w:p>
    <w:p w:rsidR="00E40E22" w:rsidRDefault="00E40E22" w:rsidP="00E40E22">
      <w:pPr>
        <w:pStyle w:val="NormalGene"/>
        <w:rPr>
          <w:rFonts w:ascii="Arial" w:hAnsi="Arial" w:cs="Arial"/>
          <w:szCs w:val="22"/>
        </w:rPr>
      </w:pPr>
      <w:r w:rsidRPr="00226F1A">
        <w:rPr>
          <w:rFonts w:ascii="Arial" w:hAnsi="Arial" w:cs="Arial"/>
          <w:szCs w:val="22"/>
        </w:rPr>
        <w:t>Le projet d</w:t>
      </w:r>
      <w:r>
        <w:rPr>
          <w:rFonts w:ascii="Arial" w:hAnsi="Arial" w:cs="Arial"/>
          <w:szCs w:val="22"/>
        </w:rPr>
        <w:t xml:space="preserve">e loi </w:t>
      </w:r>
      <w:r w:rsidRPr="00226F1A">
        <w:rPr>
          <w:rFonts w:ascii="Arial" w:hAnsi="Arial" w:cs="Arial"/>
          <w:szCs w:val="22"/>
        </w:rPr>
        <w:t>a comme objectif de créer une base légale</w:t>
      </w:r>
      <w:r>
        <w:rPr>
          <w:rFonts w:ascii="Arial" w:hAnsi="Arial" w:cs="Arial"/>
          <w:szCs w:val="22"/>
        </w:rPr>
        <w:t xml:space="preserve"> permettant aux unités du centre</w:t>
      </w:r>
      <w:r w:rsidR="001D58AE">
        <w:rPr>
          <w:rFonts w:ascii="Arial" w:hAnsi="Arial" w:cs="Arial"/>
          <w:szCs w:val="22"/>
        </w:rPr>
        <w:t xml:space="preserve"> socio-éducatif de l’Etat</w:t>
      </w:r>
      <w:r>
        <w:rPr>
          <w:rFonts w:ascii="Arial" w:hAnsi="Arial" w:cs="Arial"/>
          <w:szCs w:val="22"/>
        </w:rPr>
        <w:t xml:space="preserve">, y compris l’unité de sécurité, de se doter d’un cadre organisationnel ainsi que d’un cadre relatif au traitement des pensionnaires, et de disposer d’un régime disciplinaire respectueux du principe du contradictoire, qui sont conformes aux règles et aux principes applicables </w:t>
      </w:r>
      <w:r w:rsidRPr="00226F1A">
        <w:rPr>
          <w:rFonts w:ascii="Arial" w:hAnsi="Arial" w:cs="Arial"/>
          <w:szCs w:val="22"/>
        </w:rPr>
        <w:t>au niveau international</w:t>
      </w:r>
      <w:r>
        <w:rPr>
          <w:rFonts w:ascii="Arial" w:hAnsi="Arial" w:cs="Arial"/>
          <w:szCs w:val="22"/>
        </w:rPr>
        <w:t>,</w:t>
      </w:r>
      <w:r w:rsidRPr="00226F1A">
        <w:rPr>
          <w:rFonts w:ascii="Arial" w:hAnsi="Arial" w:cs="Arial"/>
          <w:szCs w:val="22"/>
        </w:rPr>
        <w:t xml:space="preserve"> </w:t>
      </w:r>
      <w:r>
        <w:rPr>
          <w:rFonts w:ascii="Arial" w:hAnsi="Arial" w:cs="Arial"/>
          <w:szCs w:val="22"/>
        </w:rPr>
        <w:t>pour les mineurs placés au centre</w:t>
      </w:r>
      <w:r w:rsidRPr="00226F1A">
        <w:rPr>
          <w:rFonts w:ascii="Arial" w:hAnsi="Arial" w:cs="Arial"/>
          <w:szCs w:val="22"/>
        </w:rPr>
        <w:t>.</w:t>
      </w:r>
      <w:r>
        <w:rPr>
          <w:rFonts w:ascii="Arial" w:hAnsi="Arial" w:cs="Arial"/>
          <w:szCs w:val="22"/>
        </w:rPr>
        <w:t xml:space="preserve"> </w:t>
      </w:r>
    </w:p>
    <w:p w:rsidR="00E40E22" w:rsidRDefault="00E40E22" w:rsidP="00E40E22">
      <w:pPr>
        <w:pStyle w:val="NormalGene"/>
        <w:rPr>
          <w:rFonts w:ascii="Arial" w:hAnsi="Arial" w:cs="Arial"/>
          <w:szCs w:val="22"/>
        </w:rPr>
      </w:pPr>
    </w:p>
    <w:p w:rsidR="00E40E22" w:rsidRPr="00226F1A" w:rsidRDefault="00E40E22" w:rsidP="00E40E22">
      <w:pPr>
        <w:pStyle w:val="NormalGene"/>
        <w:rPr>
          <w:rFonts w:ascii="Arial" w:hAnsi="Arial" w:cs="Arial"/>
          <w:szCs w:val="22"/>
        </w:rPr>
      </w:pPr>
      <w:r>
        <w:rPr>
          <w:rFonts w:ascii="Arial" w:hAnsi="Arial" w:cs="Arial"/>
          <w:szCs w:val="22"/>
        </w:rPr>
        <w:t xml:space="preserve">Par ailleurs, le projet de loi crée une base légale a. au projet individualisé ayant pour objet d’améliorer l’encadrement du mineur placé dans les unités du centre socio-éducatif de l’Etat, b. permettant un traitement informatique des données à caractère personnel qui soit conforme à la législation applicable en matière de la protection des données à caractère personnel c. permettant le déroulement de fouilles corporelles qui soit conforme aux normes et aux recommandations internationales applicables en la matière et d. permettant </w:t>
      </w:r>
      <w:r w:rsidRPr="00226F1A">
        <w:rPr>
          <w:rFonts w:ascii="Arial" w:hAnsi="Arial" w:cs="Arial"/>
          <w:szCs w:val="22"/>
        </w:rPr>
        <w:t xml:space="preserve">d’établir l’égalité du point de vue des avantages en termes de la rémunération </w:t>
      </w:r>
      <w:r>
        <w:rPr>
          <w:rFonts w:ascii="Arial" w:hAnsi="Arial" w:cs="Arial"/>
          <w:szCs w:val="22"/>
        </w:rPr>
        <w:t>du personnel de garde employé</w:t>
      </w:r>
      <w:r w:rsidRPr="00226F1A">
        <w:rPr>
          <w:rFonts w:ascii="Arial" w:hAnsi="Arial" w:cs="Arial"/>
          <w:szCs w:val="22"/>
        </w:rPr>
        <w:t xml:space="preserve"> dans l’unité de sécurité du centre socio-éducatif de l’Etat par rapport </w:t>
      </w:r>
      <w:r>
        <w:rPr>
          <w:rFonts w:ascii="Arial" w:hAnsi="Arial" w:cs="Arial"/>
          <w:szCs w:val="22"/>
        </w:rPr>
        <w:t>au personnel de garde</w:t>
      </w:r>
      <w:r w:rsidRPr="00226F1A">
        <w:rPr>
          <w:rFonts w:ascii="Arial" w:hAnsi="Arial" w:cs="Arial"/>
          <w:szCs w:val="22"/>
        </w:rPr>
        <w:t xml:space="preserve"> </w:t>
      </w:r>
      <w:r>
        <w:rPr>
          <w:rFonts w:ascii="Arial" w:hAnsi="Arial" w:cs="Arial"/>
          <w:szCs w:val="22"/>
        </w:rPr>
        <w:t xml:space="preserve">du centre pénitentiaire de Luxembourg ou encore du Centre de rétention. </w:t>
      </w:r>
    </w:p>
    <w:p w:rsidR="00E40E22" w:rsidRPr="00226F1A" w:rsidRDefault="00E40E22" w:rsidP="00E40E22">
      <w:pPr>
        <w:pStyle w:val="NormalGene"/>
        <w:rPr>
          <w:rFonts w:ascii="Arial" w:hAnsi="Arial" w:cs="Arial"/>
          <w:szCs w:val="22"/>
        </w:rPr>
      </w:pPr>
    </w:p>
    <w:p w:rsidR="00E40E22" w:rsidRPr="00226F1A" w:rsidRDefault="00E40E22" w:rsidP="00E40E22">
      <w:pPr>
        <w:pStyle w:val="NormalGene"/>
        <w:rPr>
          <w:rFonts w:ascii="Arial" w:hAnsi="Arial" w:cs="Arial"/>
          <w:szCs w:val="22"/>
        </w:rPr>
      </w:pPr>
      <w:r w:rsidRPr="00226F1A">
        <w:rPr>
          <w:rFonts w:ascii="Arial" w:hAnsi="Arial" w:cs="Arial"/>
          <w:szCs w:val="22"/>
        </w:rPr>
        <w:t>L’unité de sécurité compte parmi les sept unités du centre socio-éducatif de l’Etat.</w:t>
      </w:r>
      <w:r>
        <w:rPr>
          <w:rFonts w:ascii="Arial" w:hAnsi="Arial" w:cs="Arial"/>
          <w:szCs w:val="22"/>
        </w:rPr>
        <w:t xml:space="preserve"> En tant que telle, l’unité de sécurité répond aux missions socio-éducative, éducative et thérapeutique, de prévention et de garde telles que définies par l’article 2 de la loi modifiée du 16 juin 2004 portant réorganisation du centre socio-éducatif de l’Etat. </w:t>
      </w:r>
      <w:r w:rsidRPr="00226F1A">
        <w:rPr>
          <w:rFonts w:ascii="Arial" w:hAnsi="Arial" w:cs="Arial"/>
          <w:szCs w:val="22"/>
        </w:rPr>
        <w:t>Il s’agit d’une section fermée vers l’extérieur, accueillant les pensionnaires qui y sont placés par décisions des autorités judicaires, soit d’après les dispositions de la loi relatives à la protection de la jeunesse, soit d’après tout</w:t>
      </w:r>
      <w:r>
        <w:rPr>
          <w:rFonts w:ascii="Arial" w:hAnsi="Arial" w:cs="Arial"/>
          <w:szCs w:val="22"/>
        </w:rPr>
        <w:t>es autres dispositions légales.</w:t>
      </w:r>
    </w:p>
    <w:p w:rsidR="009D45E4" w:rsidRDefault="009D45E4" w:rsidP="009D45E4">
      <w:pPr>
        <w:pStyle w:val="NormalGene"/>
        <w:rPr>
          <w:rFonts w:ascii="Arial" w:hAnsi="Arial" w:cs="Arial"/>
          <w:szCs w:val="22"/>
        </w:rPr>
      </w:pPr>
    </w:p>
    <w:p w:rsidR="009D45E4" w:rsidRPr="00226F1A" w:rsidRDefault="009D45E4" w:rsidP="009D45E4">
      <w:pPr>
        <w:pStyle w:val="NormalGene"/>
        <w:rPr>
          <w:rFonts w:ascii="Arial" w:hAnsi="Arial" w:cs="Arial"/>
          <w:szCs w:val="22"/>
        </w:rPr>
      </w:pPr>
      <w:r w:rsidRPr="00226F1A">
        <w:rPr>
          <w:rFonts w:ascii="Arial" w:hAnsi="Arial" w:cs="Arial"/>
          <w:szCs w:val="22"/>
        </w:rPr>
        <w:t>Le projet de loi</w:t>
      </w:r>
      <w:r>
        <w:rPr>
          <w:rFonts w:ascii="Arial" w:hAnsi="Arial" w:cs="Arial"/>
          <w:szCs w:val="22"/>
        </w:rPr>
        <w:t xml:space="preserve"> </w:t>
      </w:r>
      <w:r w:rsidRPr="00226F1A">
        <w:rPr>
          <w:rFonts w:ascii="Arial" w:hAnsi="Arial" w:cs="Arial"/>
          <w:szCs w:val="22"/>
        </w:rPr>
        <w:t>opère une distinction nette entre les mesures éducatives à l’encontre du pensionnaire</w:t>
      </w:r>
      <w:r>
        <w:rPr>
          <w:rFonts w:ascii="Arial" w:hAnsi="Arial" w:cs="Arial"/>
          <w:szCs w:val="22"/>
        </w:rPr>
        <w:t>,</w:t>
      </w:r>
      <w:r w:rsidRPr="00226F1A">
        <w:rPr>
          <w:rFonts w:ascii="Arial" w:hAnsi="Arial" w:cs="Arial"/>
          <w:szCs w:val="22"/>
        </w:rPr>
        <w:t xml:space="preserve"> d’une part, et le régime disciplinaire</w:t>
      </w:r>
      <w:r>
        <w:rPr>
          <w:rFonts w:ascii="Arial" w:hAnsi="Arial" w:cs="Arial"/>
          <w:szCs w:val="22"/>
        </w:rPr>
        <w:t>,</w:t>
      </w:r>
      <w:r w:rsidRPr="00226F1A">
        <w:rPr>
          <w:rFonts w:ascii="Arial" w:hAnsi="Arial" w:cs="Arial"/>
          <w:szCs w:val="22"/>
        </w:rPr>
        <w:t xml:space="preserve"> d’autre part. Ce dernier comprend des mesures à caractère disciplinaire et </w:t>
      </w:r>
      <w:r>
        <w:rPr>
          <w:rFonts w:ascii="Arial" w:hAnsi="Arial" w:cs="Arial"/>
          <w:szCs w:val="22"/>
        </w:rPr>
        <w:t>des</w:t>
      </w:r>
      <w:r w:rsidRPr="00226F1A">
        <w:rPr>
          <w:rFonts w:ascii="Arial" w:hAnsi="Arial" w:cs="Arial"/>
          <w:szCs w:val="22"/>
        </w:rPr>
        <w:t xml:space="preserve"> sanction</w:t>
      </w:r>
      <w:r>
        <w:rPr>
          <w:rFonts w:ascii="Arial" w:hAnsi="Arial" w:cs="Arial"/>
          <w:szCs w:val="22"/>
        </w:rPr>
        <w:t>s</w:t>
      </w:r>
      <w:r w:rsidRPr="00226F1A">
        <w:rPr>
          <w:rFonts w:ascii="Arial" w:hAnsi="Arial" w:cs="Arial"/>
          <w:szCs w:val="22"/>
        </w:rPr>
        <w:t xml:space="preserve"> disciplinaire</w:t>
      </w:r>
      <w:r>
        <w:rPr>
          <w:rFonts w:ascii="Arial" w:hAnsi="Arial" w:cs="Arial"/>
          <w:szCs w:val="22"/>
        </w:rPr>
        <w:t>s</w:t>
      </w:r>
      <w:r w:rsidRPr="00226F1A">
        <w:rPr>
          <w:rFonts w:ascii="Arial" w:hAnsi="Arial" w:cs="Arial"/>
          <w:szCs w:val="22"/>
        </w:rPr>
        <w:t>. La finalité des mesures à caractère disciplinaire consiste dans le rétablissement immédiat du bon ordre, tandis que la finalité de</w:t>
      </w:r>
      <w:r>
        <w:rPr>
          <w:rFonts w:ascii="Arial" w:hAnsi="Arial" w:cs="Arial"/>
          <w:szCs w:val="22"/>
        </w:rPr>
        <w:t>s</w:t>
      </w:r>
      <w:r w:rsidRPr="00226F1A">
        <w:rPr>
          <w:rFonts w:ascii="Arial" w:hAnsi="Arial" w:cs="Arial"/>
          <w:szCs w:val="22"/>
        </w:rPr>
        <w:t xml:space="preserve"> sanction</w:t>
      </w:r>
      <w:r>
        <w:rPr>
          <w:rFonts w:ascii="Arial" w:hAnsi="Arial" w:cs="Arial"/>
          <w:szCs w:val="22"/>
        </w:rPr>
        <w:t>s</w:t>
      </w:r>
      <w:r w:rsidRPr="00226F1A">
        <w:rPr>
          <w:rFonts w:ascii="Arial" w:hAnsi="Arial" w:cs="Arial"/>
          <w:szCs w:val="22"/>
        </w:rPr>
        <w:t xml:space="preserve"> disciplinaire</w:t>
      </w:r>
      <w:r>
        <w:rPr>
          <w:rFonts w:ascii="Arial" w:hAnsi="Arial" w:cs="Arial"/>
          <w:szCs w:val="22"/>
        </w:rPr>
        <w:t>s</w:t>
      </w:r>
      <w:r w:rsidRPr="00226F1A">
        <w:rPr>
          <w:rFonts w:ascii="Arial" w:hAnsi="Arial" w:cs="Arial"/>
          <w:szCs w:val="22"/>
        </w:rPr>
        <w:t xml:space="preserve"> est de nature répressive. Conformément au principe de</w:t>
      </w:r>
      <w:r>
        <w:rPr>
          <w:rFonts w:ascii="Arial" w:hAnsi="Arial" w:cs="Arial"/>
          <w:szCs w:val="22"/>
        </w:rPr>
        <w:t xml:space="preserve"> la </w:t>
      </w:r>
      <w:r w:rsidRPr="00226F1A">
        <w:rPr>
          <w:rFonts w:ascii="Arial" w:hAnsi="Arial" w:cs="Arial"/>
          <w:szCs w:val="22"/>
        </w:rPr>
        <w:t>légalité, l’application de ces mesures doit être prévue par une disposition légale.</w:t>
      </w:r>
    </w:p>
    <w:p w:rsidR="009D45E4" w:rsidRPr="00226F1A" w:rsidRDefault="009D45E4" w:rsidP="009D45E4">
      <w:pPr>
        <w:pStyle w:val="NormalGene"/>
        <w:rPr>
          <w:rFonts w:ascii="Arial" w:hAnsi="Arial" w:cs="Arial"/>
          <w:szCs w:val="22"/>
        </w:rPr>
      </w:pPr>
    </w:p>
    <w:p w:rsidR="009D45E4" w:rsidRDefault="009D45E4" w:rsidP="009D45E4">
      <w:pPr>
        <w:pStyle w:val="NormalGene"/>
        <w:rPr>
          <w:rFonts w:ascii="Arial" w:hAnsi="Arial" w:cs="Arial"/>
          <w:szCs w:val="22"/>
        </w:rPr>
      </w:pPr>
      <w:r w:rsidRPr="00226F1A">
        <w:rPr>
          <w:rFonts w:ascii="Arial" w:hAnsi="Arial" w:cs="Arial"/>
          <w:szCs w:val="22"/>
        </w:rPr>
        <w:t xml:space="preserve">Le projet de loi fait la distinction entre trois types de fouilles, à savoir la fouille simple, la fouille intégrale et la fouille intime. Bien qu’un règlement grand-ducal détermine les modalités </w:t>
      </w:r>
      <w:r w:rsidRPr="00226F1A">
        <w:rPr>
          <w:rFonts w:ascii="Arial" w:hAnsi="Arial" w:cs="Arial"/>
          <w:szCs w:val="22"/>
        </w:rPr>
        <w:lastRenderedPageBreak/>
        <w:t>pratiques des fouilles, celles-ci doivent être effectuées dans tous les cas dans le respect de la dignité humaine et éviter toute humiliation des personnes fouillées. De plus, les effets personnels, la chambre individuelle ou le dortoir où loge le pensionnaire peuvent également faire l’objet d’une fouille pendant le séjour d’un pensionnaire au centre socio-éducatif</w:t>
      </w:r>
      <w:r>
        <w:rPr>
          <w:rFonts w:ascii="Arial" w:hAnsi="Arial" w:cs="Arial"/>
          <w:szCs w:val="22"/>
        </w:rPr>
        <w:t xml:space="preserve"> de l’Etat</w:t>
      </w:r>
      <w:r w:rsidRPr="00226F1A">
        <w:rPr>
          <w:rFonts w:ascii="Arial" w:hAnsi="Arial" w:cs="Arial"/>
          <w:szCs w:val="22"/>
        </w:rPr>
        <w:t>. Le pensionnaire a le droit d’y assister à moins que la fouille ne présente un danger</w:t>
      </w:r>
      <w:r>
        <w:rPr>
          <w:rFonts w:ascii="Arial" w:hAnsi="Arial" w:cs="Arial"/>
          <w:szCs w:val="22"/>
        </w:rPr>
        <w:t>,</w:t>
      </w:r>
      <w:r w:rsidRPr="00226F1A">
        <w:rPr>
          <w:rFonts w:ascii="Arial" w:hAnsi="Arial" w:cs="Arial"/>
          <w:szCs w:val="22"/>
        </w:rPr>
        <w:t xml:space="preserve"> auquel cas la présence de celui-ci est interdite.</w:t>
      </w:r>
    </w:p>
    <w:p w:rsidR="009D45E4" w:rsidRPr="00226F1A" w:rsidRDefault="009D45E4" w:rsidP="009D45E4">
      <w:pPr>
        <w:pStyle w:val="NormalGene"/>
        <w:rPr>
          <w:rFonts w:ascii="Arial" w:hAnsi="Arial" w:cs="Arial"/>
          <w:szCs w:val="22"/>
        </w:rPr>
      </w:pPr>
    </w:p>
    <w:p w:rsidR="009D45E4" w:rsidRPr="00226F1A" w:rsidRDefault="009D45E4" w:rsidP="009D45E4">
      <w:pPr>
        <w:pStyle w:val="NormalGene"/>
        <w:rPr>
          <w:rFonts w:ascii="Arial" w:hAnsi="Arial" w:cs="Arial"/>
          <w:szCs w:val="22"/>
        </w:rPr>
      </w:pPr>
      <w:r w:rsidRPr="00226F1A">
        <w:rPr>
          <w:rFonts w:ascii="Arial" w:hAnsi="Arial" w:cs="Arial"/>
          <w:szCs w:val="22"/>
        </w:rPr>
        <w:t xml:space="preserve">Par ailleurs, le projet de loi se propose de créer la base légale pour l’élaboration, voire la documentation de trois fichiers comprenant des données à caractère personnel. Il s’agit d’un fichier individuel des pensionnaires regroupant les dossiers personnels des pensionnaires, d’un fichier de l’unité de sécurité permettant de répertorier les </w:t>
      </w:r>
      <w:r>
        <w:rPr>
          <w:rFonts w:ascii="Arial" w:hAnsi="Arial" w:cs="Arial"/>
          <w:szCs w:val="22"/>
        </w:rPr>
        <w:t>entrées et sorties des personn</w:t>
      </w:r>
      <w:r w:rsidRPr="00226F1A">
        <w:rPr>
          <w:rFonts w:ascii="Arial" w:hAnsi="Arial" w:cs="Arial"/>
          <w:szCs w:val="22"/>
        </w:rPr>
        <w:t xml:space="preserve">es ayant accès à l’unité de sécurité, ainsi que d’un fichier spécial de fouilles ayant pour objet de documenter les fouilles opérées au centre socio-éducatif. </w:t>
      </w:r>
    </w:p>
    <w:p w:rsidR="009D45E4" w:rsidRPr="00226F1A" w:rsidRDefault="009D45E4" w:rsidP="009D45E4">
      <w:pPr>
        <w:pStyle w:val="NormalGene"/>
        <w:rPr>
          <w:rFonts w:ascii="Arial" w:hAnsi="Arial" w:cs="Arial"/>
          <w:szCs w:val="22"/>
        </w:rPr>
      </w:pPr>
    </w:p>
    <w:p w:rsidR="009D45E4" w:rsidRDefault="009D45E4" w:rsidP="009D45E4">
      <w:pPr>
        <w:pStyle w:val="NormalGene"/>
        <w:rPr>
          <w:rFonts w:ascii="Arial" w:hAnsi="Arial" w:cs="Arial"/>
          <w:szCs w:val="22"/>
        </w:rPr>
      </w:pPr>
      <w:r>
        <w:rPr>
          <w:rFonts w:ascii="Arial" w:hAnsi="Arial" w:cs="Arial"/>
          <w:szCs w:val="22"/>
        </w:rPr>
        <w:t>A noter que l</w:t>
      </w:r>
      <w:r w:rsidRPr="00226F1A">
        <w:rPr>
          <w:rFonts w:ascii="Arial" w:hAnsi="Arial" w:cs="Arial"/>
          <w:szCs w:val="22"/>
        </w:rPr>
        <w:t>e fonctionnement de l’unité de sécurité constitue un défi pour l’équipe dirigeante et les membres du personnel, qui seront dorénavant confrontés aux mêmes risques et exigences que le personnel travaillant dans un centre pénitentiaire. Eu égard aux conditions de travail similaires et afin de sauvegarder l’attractivité du travail, le projet de loi établit un certain parallélisme du point de vue de la rémunération, des avantages et indemnités entre les membres du personnel affectés à l’unité de sécurité et les membres du personnel employés en milieu pénitentiaire.</w:t>
      </w:r>
    </w:p>
    <w:p w:rsidR="009D45E4" w:rsidRPr="00226F1A" w:rsidRDefault="009D45E4" w:rsidP="009D45E4">
      <w:pPr>
        <w:pStyle w:val="NormalGene"/>
        <w:rPr>
          <w:rFonts w:ascii="Arial" w:hAnsi="Arial" w:cs="Arial"/>
          <w:szCs w:val="22"/>
        </w:rPr>
      </w:pPr>
    </w:p>
    <w:p w:rsidR="003A51ED" w:rsidRDefault="003A51ED"/>
    <w:sectPr w:rsidR="003A5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wis721 B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D1B0C"/>
    <w:multiLevelType w:val="hybridMultilevel"/>
    <w:tmpl w:val="9222BF0E"/>
    <w:lvl w:ilvl="0" w:tplc="C8A2840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9267A6"/>
    <w:multiLevelType w:val="hybridMultilevel"/>
    <w:tmpl w:val="4846F7B4"/>
    <w:lvl w:ilvl="0" w:tplc="C8A2840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B7C4262"/>
    <w:multiLevelType w:val="hybridMultilevel"/>
    <w:tmpl w:val="D3B0AB44"/>
    <w:lvl w:ilvl="0" w:tplc="53FA0630">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5E4"/>
    <w:rsid w:val="001D58AE"/>
    <w:rsid w:val="002A6160"/>
    <w:rsid w:val="003314B8"/>
    <w:rsid w:val="003A51ED"/>
    <w:rsid w:val="005F25EF"/>
    <w:rsid w:val="006B3370"/>
    <w:rsid w:val="00912A00"/>
    <w:rsid w:val="009D45E4"/>
    <w:rsid w:val="00E40E2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784A281-3E5A-4838-BE00-291230DF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5E4"/>
    <w:pPr>
      <w:jc w:val="both"/>
    </w:pPr>
    <w:rPr>
      <w:rFonts w:cs="Times New Roman"/>
      <w:sz w:val="22"/>
      <w:lang w:val="fr-FR" w:eastAsia="fr-FR"/>
    </w:rPr>
  </w:style>
  <w:style w:type="paragraph" w:styleId="Titre1">
    <w:name w:val="heading 1"/>
    <w:aliases w:val="I. II."/>
    <w:basedOn w:val="Normal"/>
    <w:next w:val="Normal"/>
    <w:link w:val="Titre1Car"/>
    <w:uiPriority w:val="9"/>
    <w:qFormat/>
    <w:rsid w:val="009D45E4"/>
    <w:pPr>
      <w:keepNext/>
      <w:keepLines/>
      <w:numPr>
        <w:numId w:val="1"/>
      </w:numPr>
      <w:spacing w:before="480" w:line="360" w:lineRule="auto"/>
      <w:outlineLvl w:val="0"/>
    </w:pPr>
    <w:rPr>
      <w:rFonts w:eastAsia="MS Gothic"/>
      <w:b/>
      <w:bCs/>
      <w:sz w:val="24"/>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I. II. Car"/>
    <w:link w:val="Titre1"/>
    <w:uiPriority w:val="9"/>
    <w:rsid w:val="009D45E4"/>
    <w:rPr>
      <w:rFonts w:eastAsia="MS Gothic" w:cs="Times New Roman"/>
      <w:b/>
      <w:bCs/>
      <w:sz w:val="24"/>
      <w:szCs w:val="32"/>
      <w:u w:val="single"/>
      <w:lang w:val="fr-FR" w:eastAsia="fr-FR"/>
    </w:rPr>
  </w:style>
  <w:style w:type="paragraph" w:styleId="Paragraphedeliste">
    <w:name w:val="List Paragraph"/>
    <w:aliases w:val="List Paragraph ART.,I II"/>
    <w:basedOn w:val="Normal"/>
    <w:uiPriority w:val="34"/>
    <w:qFormat/>
    <w:rsid w:val="009D45E4"/>
    <w:pPr>
      <w:spacing w:after="120"/>
      <w:ind w:left="720"/>
      <w:contextualSpacing/>
    </w:pPr>
    <w:rPr>
      <w:rFonts w:eastAsia="Calibri" w:cs="Arial"/>
      <w:szCs w:val="22"/>
      <w:lang w:val="fr-LU" w:eastAsia="en-US"/>
    </w:rPr>
  </w:style>
  <w:style w:type="paragraph" w:customStyle="1" w:styleId="NormalGene">
    <w:name w:val="Normal Gene"/>
    <w:basedOn w:val="Normal"/>
    <w:qFormat/>
    <w:rsid w:val="009D45E4"/>
    <w:rPr>
      <w:rFonts w:ascii="Times New Roman" w:eastAsia="MS Mincho" w:hAnsi="Times New Roman"/>
      <w:szCs w:val="24"/>
    </w:rPr>
  </w:style>
  <w:style w:type="paragraph" w:customStyle="1" w:styleId="Default">
    <w:name w:val="Default"/>
    <w:rsid w:val="009D45E4"/>
    <w:pPr>
      <w:autoSpaceDE w:val="0"/>
      <w:autoSpaceDN w:val="0"/>
      <w:adjustRightInd w:val="0"/>
    </w:pPr>
    <w:rPr>
      <w:rFonts w:ascii="Swis721 BT" w:eastAsia="Calibri" w:hAnsi="Swis721 BT" w:cs="Swis721 BT"/>
      <w:color w:val="000000"/>
      <w:sz w:val="24"/>
      <w:szCs w:val="24"/>
      <w:lang w:val="fr-FR" w:eastAsia="en-US"/>
    </w:rPr>
  </w:style>
  <w:style w:type="paragraph" w:customStyle="1" w:styleId="Pa5">
    <w:name w:val="Pa5"/>
    <w:basedOn w:val="Default"/>
    <w:next w:val="Default"/>
    <w:uiPriority w:val="99"/>
    <w:rsid w:val="009D45E4"/>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DP6593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6593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/sftpecos/Dossiers_parlementaires/6593/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9696C316-E28F-428F-9ED7-59539F7A7DFE}"/>
</file>

<file path=customXml/itemProps2.xml><?xml version="1.0" encoding="utf-8"?>
<ds:datastoreItem xmlns:ds="http://schemas.openxmlformats.org/officeDocument/2006/customXml" ds:itemID="{8FE103FD-4AC2-497F-965B-875669AB1D58}"/>
</file>

<file path=customXml/itemProps3.xml><?xml version="1.0" encoding="utf-8"?>
<ds:datastoreItem xmlns:ds="http://schemas.openxmlformats.org/officeDocument/2006/customXml" ds:itemID="{C44F4448-8204-4213-99BC-F5AEAE18F469}"/>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4011</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Joëlle Merges</dc:creator>
  <cp:keywords/>
  <dc:description/>
  <cp:lastModifiedBy>SYSTEM</cp:lastModifiedBy>
  <cp:revision>2</cp:revision>
  <dcterms:created xsi:type="dcterms:W3CDTF">2024-02-21T07:52:00Z</dcterms:created>
  <dcterms:modified xsi:type="dcterms:W3CDTF">2024-02-21T07:52:00Z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