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D96" w:rsidRDefault="00002D96" w:rsidP="00002D96">
      <w:pPr>
        <w:jc w:val="center"/>
        <w:rPr>
          <w:b/>
          <w:bCs/>
        </w:rPr>
      </w:pPr>
      <w:bookmarkStart w:id="0" w:name="_GoBack"/>
      <w:bookmarkEnd w:id="0"/>
      <w:r w:rsidRPr="00A47F78">
        <w:rPr>
          <w:b/>
          <w:bCs/>
        </w:rPr>
        <w:t>Résumé du projet de loi N° 6</w:t>
      </w:r>
      <w:r>
        <w:rPr>
          <w:b/>
          <w:bCs/>
        </w:rPr>
        <w:t>533</w:t>
      </w:r>
    </w:p>
    <w:p w:rsidR="00002D96" w:rsidRPr="00694576" w:rsidRDefault="00002D96" w:rsidP="00002D96">
      <w:pPr>
        <w:pStyle w:val="Titre"/>
        <w:spacing w:after="0"/>
        <w:rPr>
          <w:rFonts w:ascii="Arial" w:hAnsi="Arial" w:cs="Arial"/>
          <w:dstrike w:val="0"/>
          <w:color w:val="auto"/>
          <w:sz w:val="22"/>
          <w:szCs w:val="22"/>
        </w:rPr>
      </w:pPr>
    </w:p>
    <w:p w:rsidR="00002D96" w:rsidRPr="00CF6F53" w:rsidRDefault="00002D96" w:rsidP="00002D96"/>
    <w:p w:rsidR="00AE1648" w:rsidRDefault="0025734D" w:rsidP="00BE46AA">
      <w:pPr>
        <w:pStyle w:val="Sansinterligne"/>
        <w:jc w:val="both"/>
        <w:rPr>
          <w:rFonts w:ascii="Arial" w:hAnsi="Arial" w:cs="Arial"/>
          <w:sz w:val="22"/>
          <w:szCs w:val="22"/>
        </w:rPr>
      </w:pPr>
      <w:r w:rsidRPr="00CF6F53">
        <w:rPr>
          <w:rFonts w:ascii="Arial" w:hAnsi="Arial" w:cs="Arial"/>
          <w:sz w:val="22"/>
          <w:szCs w:val="22"/>
        </w:rPr>
        <w:t xml:space="preserve">A l’instar des deux lois-cadres </w:t>
      </w:r>
      <w:r w:rsidRPr="00CF6F53">
        <w:rPr>
          <w:rFonts w:ascii="Arial" w:hAnsi="Arial" w:cs="Arial"/>
          <w:sz w:val="22"/>
          <w:szCs w:val="22"/>
          <w:lang w:val="fr-LU"/>
        </w:rPr>
        <w:t xml:space="preserve">organisant les </w:t>
      </w:r>
      <w:r w:rsidRPr="00CF6F53">
        <w:rPr>
          <w:rFonts w:ascii="Arial" w:hAnsi="Arial" w:cs="Arial"/>
          <w:sz w:val="22"/>
          <w:szCs w:val="22"/>
        </w:rPr>
        <w:t xml:space="preserve">marchés du gaz et de l’électricité, le projet de loi </w:t>
      </w:r>
      <w:r w:rsidR="00CF6F53" w:rsidRPr="00CF6F53">
        <w:rPr>
          <w:rFonts w:ascii="Arial" w:hAnsi="Arial" w:cs="Arial"/>
          <w:bCs/>
          <w:color w:val="000000"/>
          <w:sz w:val="22"/>
          <w:szCs w:val="22"/>
        </w:rPr>
        <w:t xml:space="preserve">relatif à l’organisation du marché de produits pétroliers </w:t>
      </w:r>
      <w:r w:rsidRPr="00CF6F53">
        <w:rPr>
          <w:rFonts w:ascii="Arial" w:hAnsi="Arial" w:cs="Arial"/>
          <w:sz w:val="22"/>
          <w:szCs w:val="22"/>
        </w:rPr>
        <w:t xml:space="preserve">affiche la même ambition pour le marché des produits pétroliers dont le cadre normatif s’est mis en place suite au premier choc </w:t>
      </w:r>
      <w:r w:rsidRPr="00BE46AA">
        <w:rPr>
          <w:rFonts w:ascii="Arial" w:hAnsi="Arial" w:cs="Arial"/>
          <w:sz w:val="22"/>
          <w:szCs w:val="22"/>
        </w:rPr>
        <w:t>pétrolier en 1973.</w:t>
      </w:r>
    </w:p>
    <w:p w:rsidR="000F3EB5" w:rsidRDefault="000F3EB5" w:rsidP="00BE46AA">
      <w:pPr>
        <w:pStyle w:val="Sansinterligne"/>
        <w:jc w:val="both"/>
        <w:rPr>
          <w:rFonts w:ascii="Arial" w:hAnsi="Arial" w:cs="Arial"/>
          <w:sz w:val="22"/>
          <w:szCs w:val="22"/>
        </w:rPr>
      </w:pPr>
    </w:p>
    <w:p w:rsidR="00002D96" w:rsidRPr="00BE46AA" w:rsidRDefault="00AE1648" w:rsidP="00BE46AA">
      <w:pPr>
        <w:pStyle w:val="Sansinterligne"/>
        <w:jc w:val="both"/>
        <w:rPr>
          <w:rFonts w:ascii="Arial" w:hAnsi="Arial" w:cs="Arial"/>
          <w:bCs/>
          <w:sz w:val="22"/>
          <w:szCs w:val="22"/>
          <w:lang w:val="fr-LU" w:eastAsia="fr-LU"/>
        </w:rPr>
      </w:pPr>
      <w:r>
        <w:rPr>
          <w:rFonts w:ascii="Arial" w:hAnsi="Arial" w:cs="Arial"/>
          <w:sz w:val="22"/>
          <w:szCs w:val="22"/>
        </w:rPr>
        <w:t>Le présent</w:t>
      </w:r>
      <w:r w:rsidR="0025734D" w:rsidRPr="00BE46AA">
        <w:rPr>
          <w:rFonts w:ascii="Arial" w:hAnsi="Arial" w:cs="Arial"/>
          <w:sz w:val="22"/>
          <w:szCs w:val="22"/>
        </w:rPr>
        <w:t xml:space="preserve"> projet de loi ne se limite donc pas à une pure transposition </w:t>
      </w:r>
      <w:r w:rsidR="00CF6F53" w:rsidRPr="00BE46AA">
        <w:rPr>
          <w:rFonts w:ascii="Arial" w:eastAsia="Times New Roman" w:hAnsi="Arial" w:cs="Arial"/>
          <w:sz w:val="22"/>
          <w:szCs w:val="22"/>
          <w:lang w:eastAsia="en-GB"/>
        </w:rPr>
        <w:t xml:space="preserve">en droit national </w:t>
      </w:r>
      <w:r w:rsidR="0025734D" w:rsidRPr="00BE46AA">
        <w:rPr>
          <w:rFonts w:ascii="Arial" w:hAnsi="Arial" w:cs="Arial"/>
          <w:sz w:val="22"/>
          <w:szCs w:val="22"/>
        </w:rPr>
        <w:t xml:space="preserve">de la directive </w:t>
      </w:r>
      <w:r w:rsidR="0025734D" w:rsidRPr="00BE46AA">
        <w:rPr>
          <w:rFonts w:ascii="Arial" w:hAnsi="Arial" w:cs="Arial"/>
          <w:bCs/>
          <w:sz w:val="22"/>
          <w:szCs w:val="22"/>
          <w:lang w:val="fr-LU" w:eastAsia="fr-LU"/>
        </w:rPr>
        <w:t>2009/119/CE</w:t>
      </w:r>
      <w:r w:rsidR="00BE46AA" w:rsidRPr="00BE46AA">
        <w:rPr>
          <w:rFonts w:ascii="Arial" w:hAnsi="Arial" w:cs="Arial"/>
          <w:bCs/>
          <w:sz w:val="22"/>
          <w:szCs w:val="22"/>
          <w:lang w:val="fr-LU" w:eastAsia="fr-LU"/>
        </w:rPr>
        <w:t xml:space="preserve"> qui </w:t>
      </w:r>
      <w:r w:rsidR="00002D96" w:rsidRPr="00BE46AA">
        <w:rPr>
          <w:rFonts w:ascii="Arial" w:eastAsia="Times New Roman" w:hAnsi="Arial" w:cs="Arial"/>
          <w:sz w:val="22"/>
          <w:szCs w:val="22"/>
          <w:lang w:eastAsia="en-GB"/>
        </w:rPr>
        <w:t>fait obligation aux Etats membres de maintenir un niveau minimal de stocks de pétrole brut et/ou de produits pétroliers</w:t>
      </w:r>
      <w:r>
        <w:rPr>
          <w:rFonts w:ascii="Arial" w:eastAsia="Times New Roman" w:hAnsi="Arial" w:cs="Arial"/>
          <w:sz w:val="22"/>
          <w:szCs w:val="22"/>
          <w:lang w:eastAsia="en-GB"/>
        </w:rPr>
        <w:t xml:space="preserve">. Ce </w:t>
      </w:r>
      <w:r w:rsidR="00BE46AA" w:rsidRPr="00BE46AA">
        <w:rPr>
          <w:rFonts w:ascii="Arial" w:eastAsia="Times New Roman" w:hAnsi="Arial" w:cs="Arial"/>
          <w:sz w:val="22"/>
          <w:szCs w:val="22"/>
          <w:lang w:eastAsia="en-GB"/>
        </w:rPr>
        <w:t xml:space="preserve">projet de loi </w:t>
      </w:r>
      <w:r w:rsidR="00002D96" w:rsidRPr="00BE46AA">
        <w:rPr>
          <w:rFonts w:ascii="Arial" w:eastAsia="Times New Roman" w:hAnsi="Arial" w:cs="Arial"/>
          <w:sz w:val="22"/>
          <w:szCs w:val="22"/>
          <w:lang w:eastAsia="en-GB"/>
        </w:rPr>
        <w:t xml:space="preserve">instaure </w:t>
      </w:r>
      <w:r>
        <w:rPr>
          <w:rFonts w:ascii="Arial" w:eastAsia="Times New Roman" w:hAnsi="Arial" w:cs="Arial"/>
          <w:sz w:val="22"/>
          <w:szCs w:val="22"/>
          <w:lang w:eastAsia="en-GB"/>
        </w:rPr>
        <w:t>l</w:t>
      </w:r>
      <w:r w:rsidR="00002D96" w:rsidRPr="00BE46AA">
        <w:rPr>
          <w:rFonts w:ascii="Arial" w:eastAsia="Times New Roman" w:hAnsi="Arial" w:cs="Arial"/>
          <w:sz w:val="22"/>
          <w:szCs w:val="22"/>
          <w:lang w:eastAsia="en-GB"/>
        </w:rPr>
        <w:t xml:space="preserve">e cadre pour la surveillance du secteur par le ministre ayant l’énergie dans ses attributions et crée </w:t>
      </w:r>
      <w:r w:rsidR="00065FBE" w:rsidRPr="00BE46AA">
        <w:rPr>
          <w:rFonts w:ascii="Arial" w:eastAsia="Times New Roman" w:hAnsi="Arial" w:cs="Arial"/>
          <w:sz w:val="22"/>
          <w:szCs w:val="22"/>
          <w:lang w:eastAsia="en-GB"/>
        </w:rPr>
        <w:t>une entité</w:t>
      </w:r>
      <w:r w:rsidR="00065FBE" w:rsidRPr="00BE46AA">
        <w:rPr>
          <w:rFonts w:ascii="Arial" w:hAnsi="Arial" w:cs="Arial"/>
          <w:sz w:val="22"/>
          <w:szCs w:val="22"/>
        </w:rPr>
        <w:t xml:space="preserve"> centrale de stockage, l’établissement public appelé « </w:t>
      </w:r>
      <w:r w:rsidR="00065FBE" w:rsidRPr="00BE46AA">
        <w:rPr>
          <w:rFonts w:ascii="Arial" w:eastAsia="Times New Roman" w:hAnsi="Arial" w:cs="Arial"/>
          <w:sz w:val="22"/>
          <w:szCs w:val="22"/>
          <w:lang w:eastAsia="en-GB"/>
        </w:rPr>
        <w:t>Agence n</w:t>
      </w:r>
      <w:r w:rsidR="00002D96" w:rsidRPr="00BE46AA">
        <w:rPr>
          <w:rFonts w:ascii="Arial" w:eastAsia="Times New Roman" w:hAnsi="Arial" w:cs="Arial"/>
          <w:sz w:val="22"/>
          <w:szCs w:val="22"/>
          <w:lang w:eastAsia="en-GB"/>
        </w:rPr>
        <w:t xml:space="preserve">ationale de </w:t>
      </w:r>
      <w:r w:rsidR="00065FBE" w:rsidRPr="00BE46AA">
        <w:rPr>
          <w:rFonts w:ascii="Arial" w:eastAsia="Times New Roman" w:hAnsi="Arial" w:cs="Arial"/>
          <w:sz w:val="22"/>
          <w:szCs w:val="22"/>
          <w:lang w:eastAsia="en-GB"/>
        </w:rPr>
        <w:t>s</w:t>
      </w:r>
      <w:r w:rsidR="00002D96" w:rsidRPr="00BE46AA">
        <w:rPr>
          <w:rFonts w:ascii="Arial" w:eastAsia="Times New Roman" w:hAnsi="Arial" w:cs="Arial"/>
          <w:sz w:val="22"/>
          <w:szCs w:val="22"/>
          <w:lang w:eastAsia="en-GB"/>
        </w:rPr>
        <w:t xml:space="preserve">tockage de </w:t>
      </w:r>
      <w:r w:rsidR="00065FBE" w:rsidRPr="00BE46AA">
        <w:rPr>
          <w:rFonts w:ascii="Arial" w:eastAsia="Times New Roman" w:hAnsi="Arial" w:cs="Arial"/>
          <w:sz w:val="22"/>
          <w:szCs w:val="22"/>
          <w:lang w:eastAsia="en-GB"/>
        </w:rPr>
        <w:t>produits p</w:t>
      </w:r>
      <w:r w:rsidR="00002D96" w:rsidRPr="00BE46AA">
        <w:rPr>
          <w:rFonts w:ascii="Arial" w:eastAsia="Times New Roman" w:hAnsi="Arial" w:cs="Arial"/>
          <w:sz w:val="22"/>
          <w:szCs w:val="22"/>
          <w:lang w:eastAsia="en-GB"/>
        </w:rPr>
        <w:t>étroliers</w:t>
      </w:r>
      <w:r w:rsidR="004253A7">
        <w:rPr>
          <w:rFonts w:ascii="Arial" w:eastAsia="Times New Roman" w:hAnsi="Arial" w:cs="Arial"/>
          <w:sz w:val="22"/>
          <w:szCs w:val="22"/>
          <w:lang w:eastAsia="en-GB"/>
        </w:rPr>
        <w:t> »</w:t>
      </w:r>
      <w:r w:rsidR="00002D96" w:rsidRPr="00BE46AA">
        <w:rPr>
          <w:rFonts w:ascii="Arial" w:eastAsia="Times New Roman" w:hAnsi="Arial" w:cs="Arial"/>
          <w:sz w:val="22"/>
          <w:szCs w:val="22"/>
          <w:lang w:eastAsia="en-GB"/>
        </w:rPr>
        <w:t xml:space="preserve">. </w:t>
      </w:r>
    </w:p>
    <w:p w:rsidR="00002D96" w:rsidRPr="00BE46AA" w:rsidRDefault="00002D96" w:rsidP="00002D96">
      <w:pPr>
        <w:rPr>
          <w:rFonts w:ascii="Arial" w:eastAsia="Times New Roman" w:hAnsi="Arial" w:cs="Arial"/>
          <w:lang w:eastAsia="en-GB"/>
        </w:rPr>
      </w:pPr>
    </w:p>
    <w:p w:rsidR="00002D96" w:rsidRPr="00511BFC" w:rsidRDefault="00CF6F53" w:rsidP="00002D96">
      <w:pPr>
        <w:rPr>
          <w:rFonts w:ascii="Arial" w:hAnsi="Arial" w:cs="Arial"/>
        </w:rPr>
      </w:pPr>
      <w:r>
        <w:rPr>
          <w:rFonts w:ascii="Arial" w:eastAsia="Times New Roman" w:hAnsi="Arial" w:cs="Arial"/>
          <w:lang w:eastAsia="en-GB"/>
        </w:rPr>
        <w:t>En plus,</w:t>
      </w:r>
      <w:r w:rsidR="00002D96">
        <w:rPr>
          <w:rFonts w:ascii="Arial" w:eastAsia="Times New Roman" w:hAnsi="Arial" w:cs="Arial"/>
          <w:lang w:eastAsia="en-GB"/>
        </w:rPr>
        <w:t xml:space="preserve"> le </w:t>
      </w:r>
      <w:r w:rsidR="00002D96" w:rsidRPr="00CE419D">
        <w:rPr>
          <w:rFonts w:ascii="Arial" w:eastAsia="Times New Roman" w:hAnsi="Arial" w:cs="Arial"/>
          <w:lang w:eastAsia="en-GB"/>
        </w:rPr>
        <w:t xml:space="preserve">projet de loi </w:t>
      </w:r>
      <w:r w:rsidR="00002D96">
        <w:rPr>
          <w:rFonts w:ascii="Arial" w:eastAsia="Times New Roman" w:hAnsi="Arial" w:cs="Arial"/>
          <w:lang w:eastAsia="en-GB"/>
        </w:rPr>
        <w:t xml:space="preserve">tient </w:t>
      </w:r>
      <w:r w:rsidR="00002D96" w:rsidRPr="00CE419D">
        <w:rPr>
          <w:rFonts w:ascii="Arial" w:eastAsia="Times New Roman" w:hAnsi="Arial" w:cs="Arial"/>
          <w:lang w:eastAsia="en-GB"/>
        </w:rPr>
        <w:t xml:space="preserve">compte </w:t>
      </w:r>
      <w:r w:rsidR="00002D96">
        <w:rPr>
          <w:rFonts w:ascii="Arial" w:eastAsia="Times New Roman" w:hAnsi="Arial" w:cs="Arial"/>
          <w:lang w:eastAsia="en-GB"/>
        </w:rPr>
        <w:t xml:space="preserve">de </w:t>
      </w:r>
      <w:r w:rsidR="00002D96" w:rsidRPr="00CE419D">
        <w:rPr>
          <w:rFonts w:ascii="Arial" w:eastAsia="Times New Roman" w:hAnsi="Arial" w:cs="Arial"/>
          <w:lang w:eastAsia="en-GB"/>
        </w:rPr>
        <w:t xml:space="preserve">l’accord relatif à un Programme international de l’Energie tel qu’amendé jusqu’au 25 septembre 2008 et créant l’Agence Internationale de l’Energie (AIE). Cet accord </w:t>
      </w:r>
      <w:r w:rsidR="00002D96">
        <w:rPr>
          <w:rFonts w:ascii="Arial" w:eastAsia="Times New Roman" w:hAnsi="Arial" w:cs="Arial"/>
          <w:lang w:eastAsia="en-GB"/>
        </w:rPr>
        <w:t>prévoit,</w:t>
      </w:r>
      <w:r w:rsidR="00002D96" w:rsidRPr="00CE419D">
        <w:rPr>
          <w:rFonts w:ascii="Arial" w:eastAsia="Times New Roman" w:hAnsi="Arial" w:cs="Arial"/>
          <w:lang w:eastAsia="en-GB"/>
        </w:rPr>
        <w:t xml:space="preserve"> notamment</w:t>
      </w:r>
      <w:r w:rsidR="00002D96">
        <w:rPr>
          <w:rFonts w:ascii="Arial" w:eastAsia="Times New Roman" w:hAnsi="Arial" w:cs="Arial"/>
          <w:lang w:eastAsia="en-GB"/>
        </w:rPr>
        <w:t>,</w:t>
      </w:r>
      <w:r w:rsidR="00002D96" w:rsidRPr="00CE419D">
        <w:rPr>
          <w:rFonts w:ascii="Arial" w:eastAsia="Times New Roman" w:hAnsi="Arial" w:cs="Arial"/>
          <w:lang w:eastAsia="en-GB"/>
        </w:rPr>
        <w:t xml:space="preserve"> le maintien par chaque pays signataire de réserves d’urgence suffisantes pour couvrir la consommation pendant au moins 90 jours sans importations nettes de pétrole et prévoit la fourniture par chaque pays signataire d’un certain nombre d’informations à caractère général ou statistique sur le secteur pétrolier </w:t>
      </w:r>
      <w:r w:rsidR="00002D96" w:rsidRPr="00511BFC">
        <w:rPr>
          <w:rFonts w:ascii="Arial" w:eastAsia="Times New Roman" w:hAnsi="Arial" w:cs="Arial"/>
          <w:lang w:eastAsia="en-GB"/>
        </w:rPr>
        <w:t>national.</w:t>
      </w:r>
    </w:p>
    <w:p w:rsidR="00002D96" w:rsidRDefault="00002D96" w:rsidP="00002D96">
      <w:pPr>
        <w:rPr>
          <w:rFonts w:ascii="Arial" w:hAnsi="Arial" w:cs="Arial"/>
          <w:color w:val="000000"/>
        </w:rPr>
      </w:pPr>
    </w:p>
    <w:p w:rsidR="00CF6F53" w:rsidRDefault="00002D96" w:rsidP="00002D96">
      <w:pPr>
        <w:rPr>
          <w:rFonts w:ascii="Arial" w:eastAsia="Times New Roman" w:hAnsi="Arial" w:cs="Arial"/>
          <w:lang w:eastAsia="en-GB"/>
        </w:rPr>
      </w:pPr>
      <w:r w:rsidRPr="00CE419D">
        <w:rPr>
          <w:rFonts w:ascii="Arial" w:eastAsia="Times New Roman" w:hAnsi="Arial" w:cs="Arial"/>
          <w:lang w:eastAsia="en-GB"/>
        </w:rPr>
        <w:t xml:space="preserve">Jusqu’à présent, le cadre légal pour le secteur des produits pétroliers se limitait au règlement grand-ducal modifié du 31 octobre 1973 relatif aux obligations de stockage de produits pétroliers. </w:t>
      </w:r>
      <w:r w:rsidR="00065FBE">
        <w:rPr>
          <w:rFonts w:ascii="Arial" w:eastAsia="Times New Roman" w:hAnsi="Arial" w:cs="Arial"/>
          <w:lang w:eastAsia="en-GB"/>
        </w:rPr>
        <w:t>C</w:t>
      </w:r>
      <w:r w:rsidRPr="00CE419D">
        <w:rPr>
          <w:rFonts w:ascii="Arial" w:eastAsia="Times New Roman" w:hAnsi="Arial" w:cs="Arial"/>
          <w:lang w:eastAsia="en-GB"/>
        </w:rPr>
        <w:t xml:space="preserve">e règlement </w:t>
      </w:r>
      <w:r w:rsidR="00065FBE">
        <w:rPr>
          <w:rFonts w:ascii="Arial" w:eastAsia="Times New Roman" w:hAnsi="Arial" w:cs="Arial"/>
          <w:lang w:eastAsia="en-GB"/>
        </w:rPr>
        <w:t>sera</w:t>
      </w:r>
      <w:r w:rsidRPr="00CE419D">
        <w:rPr>
          <w:rFonts w:ascii="Arial" w:eastAsia="Times New Roman" w:hAnsi="Arial" w:cs="Arial"/>
          <w:lang w:eastAsia="en-GB"/>
        </w:rPr>
        <w:t xml:space="preserve"> abrog</w:t>
      </w:r>
      <w:r w:rsidR="00065FBE">
        <w:rPr>
          <w:rFonts w:ascii="Arial" w:eastAsia="Times New Roman" w:hAnsi="Arial" w:cs="Arial"/>
          <w:lang w:eastAsia="en-GB"/>
        </w:rPr>
        <w:t xml:space="preserve">é. </w:t>
      </w:r>
      <w:r w:rsidRPr="00CE419D">
        <w:rPr>
          <w:rFonts w:ascii="Arial" w:eastAsia="Times New Roman" w:hAnsi="Arial" w:cs="Arial"/>
          <w:lang w:eastAsia="en-GB"/>
        </w:rPr>
        <w:t>Néanmoins, les dispositions et principes encore pertinents du règlement grand-ducal pré</w:t>
      </w:r>
      <w:r>
        <w:rPr>
          <w:rFonts w:ascii="Arial" w:eastAsia="Times New Roman" w:hAnsi="Arial" w:cs="Arial"/>
          <w:lang w:eastAsia="en-GB"/>
        </w:rPr>
        <w:t>-</w:t>
      </w:r>
      <w:r w:rsidRPr="00CE419D">
        <w:rPr>
          <w:rFonts w:ascii="Arial" w:eastAsia="Times New Roman" w:hAnsi="Arial" w:cs="Arial"/>
          <w:lang w:eastAsia="en-GB"/>
        </w:rPr>
        <w:t xml:space="preserve">mentionné ont été repris dans le texte du </w:t>
      </w:r>
      <w:r w:rsidR="003A3DAA">
        <w:rPr>
          <w:rFonts w:ascii="Arial" w:eastAsia="Times New Roman" w:hAnsi="Arial" w:cs="Arial"/>
          <w:lang w:eastAsia="en-GB"/>
        </w:rPr>
        <w:t>projet de loi.</w:t>
      </w:r>
    </w:p>
    <w:p w:rsidR="00CF6F53" w:rsidRDefault="00CF6F53" w:rsidP="00002D96">
      <w:pPr>
        <w:rPr>
          <w:rFonts w:ascii="Arial" w:eastAsia="Times New Roman" w:hAnsi="Arial" w:cs="Arial"/>
          <w:lang w:eastAsia="en-GB"/>
        </w:rPr>
      </w:pPr>
    </w:p>
    <w:p w:rsidR="00AD18F1" w:rsidRDefault="0025734D" w:rsidP="00AD18F1">
      <w:pPr>
        <w:pStyle w:val="Sansinterligne"/>
        <w:jc w:val="both"/>
        <w:rPr>
          <w:rFonts w:ascii="Arial" w:hAnsi="Arial" w:cs="Arial"/>
          <w:sz w:val="22"/>
          <w:szCs w:val="22"/>
        </w:rPr>
      </w:pPr>
      <w:r>
        <w:rPr>
          <w:rFonts w:ascii="Arial" w:hAnsi="Arial" w:cs="Arial"/>
          <w:sz w:val="22"/>
          <w:szCs w:val="22"/>
          <w:lang w:val="fr-LU"/>
        </w:rPr>
        <w:t>A noter</w:t>
      </w:r>
      <w:r w:rsidR="00AD18F1">
        <w:rPr>
          <w:rFonts w:ascii="Arial" w:hAnsi="Arial" w:cs="Arial"/>
          <w:sz w:val="22"/>
          <w:szCs w:val="22"/>
          <w:lang w:val="fr-LU"/>
        </w:rPr>
        <w:t xml:space="preserve"> que le délai de transposition en droit national de la directive 2009/119/CE à l’origine du présent projet de loi </w:t>
      </w:r>
      <w:r>
        <w:rPr>
          <w:rFonts w:ascii="Arial" w:hAnsi="Arial" w:cs="Arial"/>
          <w:sz w:val="22"/>
          <w:szCs w:val="22"/>
          <w:lang w:val="fr-LU"/>
        </w:rPr>
        <w:t>est</w:t>
      </w:r>
      <w:r w:rsidR="00AD18F1">
        <w:rPr>
          <w:rFonts w:ascii="Arial" w:hAnsi="Arial" w:cs="Arial"/>
          <w:sz w:val="22"/>
          <w:szCs w:val="22"/>
          <w:lang w:val="fr-LU"/>
        </w:rPr>
        <w:t xml:space="preserve"> dépassé depuis fin décembre 2012,</w:t>
      </w:r>
      <w:r>
        <w:rPr>
          <w:rFonts w:ascii="Arial" w:hAnsi="Arial" w:cs="Arial"/>
          <w:sz w:val="22"/>
          <w:szCs w:val="22"/>
          <w:lang w:val="fr-LU"/>
        </w:rPr>
        <w:t xml:space="preserve"> de sorte que</w:t>
      </w:r>
      <w:r w:rsidR="00AD18F1">
        <w:rPr>
          <w:rFonts w:ascii="Arial" w:hAnsi="Arial" w:cs="Arial"/>
          <w:sz w:val="22"/>
          <w:szCs w:val="22"/>
          <w:lang w:val="fr-LU"/>
        </w:rPr>
        <w:t xml:space="preserve"> la </w:t>
      </w:r>
      <w:r w:rsidR="00AD18F1" w:rsidRPr="0009596B">
        <w:rPr>
          <w:rFonts w:ascii="Arial" w:hAnsi="Arial" w:cs="Arial"/>
          <w:sz w:val="22"/>
          <w:szCs w:val="22"/>
        </w:rPr>
        <w:t>Commission européenne</w:t>
      </w:r>
      <w:r w:rsidR="00AD18F1">
        <w:rPr>
          <w:rFonts w:ascii="Arial" w:hAnsi="Arial" w:cs="Arial"/>
          <w:sz w:val="22"/>
          <w:szCs w:val="22"/>
        </w:rPr>
        <w:t xml:space="preserve"> a émis, le 25 septembre 2014, un </w:t>
      </w:r>
      <w:r w:rsidR="00AD18F1" w:rsidRPr="0009596B">
        <w:rPr>
          <w:rFonts w:ascii="Arial" w:hAnsi="Arial" w:cs="Arial"/>
          <w:sz w:val="22"/>
          <w:szCs w:val="22"/>
        </w:rPr>
        <w:t>avis motivé à l’encontre du Luxembourg pour non-transposition complète de la directive 2009/119/CE endéans les délais impartis</w:t>
      </w:r>
      <w:r w:rsidR="00AD18F1">
        <w:rPr>
          <w:rFonts w:ascii="Arial" w:hAnsi="Arial" w:cs="Arial"/>
          <w:sz w:val="22"/>
          <w:szCs w:val="22"/>
        </w:rPr>
        <w:t>.</w:t>
      </w:r>
    </w:p>
    <w:p w:rsidR="00AD18F1" w:rsidRDefault="00AD18F1" w:rsidP="00AD18F1">
      <w:pPr>
        <w:pStyle w:val="Sansinterligne"/>
        <w:jc w:val="both"/>
        <w:rPr>
          <w:rFonts w:ascii="Arial" w:hAnsi="Arial" w:cs="Arial"/>
          <w:sz w:val="22"/>
          <w:szCs w:val="22"/>
        </w:rPr>
      </w:pPr>
    </w:p>
    <w:sectPr w:rsidR="00AD18F1" w:rsidSect="00C835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FC4" w:rsidRDefault="00314FC4" w:rsidP="00002D96">
      <w:r>
        <w:separator/>
      </w:r>
    </w:p>
  </w:endnote>
  <w:endnote w:type="continuationSeparator" w:id="0">
    <w:p w:rsidR="00314FC4" w:rsidRDefault="00314FC4" w:rsidP="0000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FC4" w:rsidRDefault="00314FC4" w:rsidP="00002D96">
      <w:r>
        <w:separator/>
      </w:r>
    </w:p>
  </w:footnote>
  <w:footnote w:type="continuationSeparator" w:id="0">
    <w:p w:rsidR="00314FC4" w:rsidRDefault="00314FC4" w:rsidP="00002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D96"/>
    <w:rsid w:val="00002D96"/>
    <w:rsid w:val="00065FBE"/>
    <w:rsid w:val="000A031B"/>
    <w:rsid w:val="000F3EB5"/>
    <w:rsid w:val="00127C92"/>
    <w:rsid w:val="001420B0"/>
    <w:rsid w:val="001B1185"/>
    <w:rsid w:val="001E1E01"/>
    <w:rsid w:val="0025734D"/>
    <w:rsid w:val="002A2F81"/>
    <w:rsid w:val="00314FC4"/>
    <w:rsid w:val="003A3DAA"/>
    <w:rsid w:val="0041050F"/>
    <w:rsid w:val="004253A7"/>
    <w:rsid w:val="0057714B"/>
    <w:rsid w:val="007913C7"/>
    <w:rsid w:val="00856304"/>
    <w:rsid w:val="00994C82"/>
    <w:rsid w:val="009C0A9D"/>
    <w:rsid w:val="009D75DF"/>
    <w:rsid w:val="00A37F1B"/>
    <w:rsid w:val="00AD18F1"/>
    <w:rsid w:val="00AE1648"/>
    <w:rsid w:val="00BE46AA"/>
    <w:rsid w:val="00C83592"/>
    <w:rsid w:val="00CB2CAF"/>
    <w:rsid w:val="00CF6F53"/>
    <w:rsid w:val="00D2379E"/>
    <w:rsid w:val="00D446C1"/>
    <w:rsid w:val="00D93BC5"/>
    <w:rsid w:val="00E0761F"/>
    <w:rsid w:val="00EF6EDD"/>
    <w:rsid w:val="00F772D4"/>
    <w:rsid w:val="00F90779"/>
    <w:rsid w:val="00FB0028"/>
    <w:rsid w:val="00FE3C9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BED769D-7330-403C-AD38-16C7BF35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D96"/>
    <w:pPr>
      <w:jc w:val="both"/>
    </w:pPr>
    <w:rPr>
      <w:rFonts w:ascii="Tahoma" w:hAnsi="Tahoma" w:cs="Times New Roman"/>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02D96"/>
    <w:rPr>
      <w:sz w:val="20"/>
      <w:szCs w:val="20"/>
      <w:lang w:val="fr-LU"/>
    </w:rPr>
  </w:style>
  <w:style w:type="character" w:customStyle="1" w:styleId="NotedebasdepageCar">
    <w:name w:val="Note de bas de page Car"/>
    <w:basedOn w:val="Policepardfaut"/>
    <w:link w:val="Notedebasdepage"/>
    <w:uiPriority w:val="99"/>
    <w:rsid w:val="00002D96"/>
    <w:rPr>
      <w:rFonts w:ascii="Tahoma" w:eastAsia="Calibri" w:hAnsi="Tahoma" w:cs="Times New Roman"/>
      <w:sz w:val="20"/>
      <w:szCs w:val="20"/>
    </w:rPr>
  </w:style>
  <w:style w:type="character" w:styleId="Appelnotedebasdep">
    <w:name w:val="footnote reference"/>
    <w:aliases w:val="Footnote symbol,Footnote reference number,Times 10 Point,Exposant 3 Point,EN Footnote Reference,note TESI,SUPERS,Nota,Footnote number,Char1,Ref,de nota al pie,EN Footnote text,Footnote Reference_LVL6,E..."/>
    <w:uiPriority w:val="99"/>
    <w:unhideWhenUsed/>
    <w:rsid w:val="00002D96"/>
    <w:rPr>
      <w:vertAlign w:val="superscript"/>
    </w:rPr>
  </w:style>
  <w:style w:type="paragraph" w:customStyle="1" w:styleId="Pa12">
    <w:name w:val="Pa12"/>
    <w:basedOn w:val="Normal"/>
    <w:next w:val="Normal"/>
    <w:uiPriority w:val="99"/>
    <w:rsid w:val="00002D96"/>
    <w:pPr>
      <w:autoSpaceDE w:val="0"/>
      <w:autoSpaceDN w:val="0"/>
      <w:adjustRightInd w:val="0"/>
      <w:spacing w:line="201" w:lineRule="atLeast"/>
      <w:jc w:val="left"/>
    </w:pPr>
    <w:rPr>
      <w:rFonts w:ascii="Swis721 BT" w:hAnsi="Swis721 BT"/>
      <w:sz w:val="24"/>
      <w:szCs w:val="24"/>
      <w:lang w:val="fr-LU"/>
    </w:rPr>
  </w:style>
  <w:style w:type="paragraph" w:customStyle="1" w:styleId="Default">
    <w:name w:val="Default"/>
    <w:rsid w:val="00002D96"/>
    <w:pPr>
      <w:autoSpaceDE w:val="0"/>
      <w:autoSpaceDN w:val="0"/>
      <w:adjustRightInd w:val="0"/>
    </w:pPr>
    <w:rPr>
      <w:rFonts w:ascii="Times New Roman" w:eastAsia="Times New Roman" w:hAnsi="Times New Roman" w:cs="Times New Roman"/>
      <w:color w:val="000000"/>
      <w:sz w:val="24"/>
      <w:szCs w:val="24"/>
    </w:rPr>
  </w:style>
  <w:style w:type="character" w:styleId="Lienhypertexte">
    <w:name w:val="Hyperlink"/>
    <w:basedOn w:val="Policepardfaut"/>
    <w:uiPriority w:val="99"/>
    <w:unhideWhenUsed/>
    <w:rsid w:val="00002D96"/>
    <w:rPr>
      <w:color w:val="0000FF"/>
      <w:u w:val="single"/>
    </w:rPr>
  </w:style>
  <w:style w:type="paragraph" w:customStyle="1" w:styleId="Pa18">
    <w:name w:val="Pa18"/>
    <w:basedOn w:val="Default"/>
    <w:next w:val="Default"/>
    <w:uiPriority w:val="99"/>
    <w:rsid w:val="00002D96"/>
    <w:pPr>
      <w:spacing w:line="201" w:lineRule="atLeast"/>
    </w:pPr>
    <w:rPr>
      <w:rFonts w:eastAsia="Calibri"/>
      <w:color w:val="auto"/>
      <w:lang w:val="en-GB" w:eastAsia="en-US"/>
    </w:rPr>
  </w:style>
  <w:style w:type="character" w:customStyle="1" w:styleId="A8">
    <w:name w:val="A8"/>
    <w:uiPriority w:val="99"/>
    <w:rsid w:val="00002D96"/>
    <w:rPr>
      <w:color w:val="000000"/>
      <w:sz w:val="15"/>
      <w:szCs w:val="15"/>
    </w:rPr>
  </w:style>
  <w:style w:type="paragraph" w:styleId="Titre">
    <w:name w:val="Title"/>
    <w:basedOn w:val="Normal"/>
    <w:next w:val="Normal"/>
    <w:link w:val="TitreCar"/>
    <w:uiPriority w:val="10"/>
    <w:qFormat/>
    <w:rsid w:val="00002D96"/>
    <w:pPr>
      <w:pBdr>
        <w:bottom w:val="single" w:sz="8" w:space="4" w:color="4F81BD"/>
      </w:pBdr>
      <w:spacing w:after="300"/>
      <w:contextualSpacing/>
    </w:pPr>
    <w:rPr>
      <w:rFonts w:ascii="Cambria" w:eastAsia="Times New Roman" w:hAnsi="Cambria"/>
      <w:dstrike/>
      <w:color w:val="17365D"/>
      <w:spacing w:val="5"/>
      <w:kern w:val="28"/>
      <w:sz w:val="52"/>
      <w:szCs w:val="52"/>
      <w:lang w:val="fr-LU"/>
    </w:rPr>
  </w:style>
  <w:style w:type="character" w:customStyle="1" w:styleId="TitreCar">
    <w:name w:val="Titre Car"/>
    <w:basedOn w:val="Policepardfaut"/>
    <w:link w:val="Titre"/>
    <w:uiPriority w:val="10"/>
    <w:rsid w:val="00002D96"/>
    <w:rPr>
      <w:rFonts w:ascii="Cambria" w:eastAsia="Times New Roman" w:hAnsi="Cambria" w:cs="Times New Roman"/>
      <w:dstrike/>
      <w:color w:val="17365D"/>
      <w:spacing w:val="5"/>
      <w:kern w:val="28"/>
      <w:sz w:val="52"/>
      <w:szCs w:val="52"/>
    </w:rPr>
  </w:style>
  <w:style w:type="paragraph" w:styleId="En-tte">
    <w:name w:val="header"/>
    <w:basedOn w:val="Normal"/>
    <w:link w:val="En-tteCar"/>
    <w:unhideWhenUsed/>
    <w:rsid w:val="00AD18F1"/>
    <w:pPr>
      <w:tabs>
        <w:tab w:val="center" w:pos="4513"/>
        <w:tab w:val="right" w:pos="9026"/>
      </w:tabs>
    </w:pPr>
  </w:style>
  <w:style w:type="character" w:customStyle="1" w:styleId="En-tteCar">
    <w:name w:val="En-tête Car"/>
    <w:basedOn w:val="Policepardfaut"/>
    <w:link w:val="En-tte"/>
    <w:rsid w:val="00AD18F1"/>
    <w:rPr>
      <w:rFonts w:ascii="Tahoma" w:hAnsi="Tahoma" w:cs="Times New Roman"/>
      <w:sz w:val="22"/>
      <w:szCs w:val="22"/>
      <w:lang w:val="fr-FR" w:eastAsia="en-US"/>
    </w:rPr>
  </w:style>
  <w:style w:type="paragraph" w:styleId="Sansinterligne">
    <w:name w:val="No Spacing"/>
    <w:uiPriority w:val="99"/>
    <w:qFormat/>
    <w:rsid w:val="00AD18F1"/>
    <w:rPr>
      <w:rFonts w:ascii="Times New Roman" w:hAnsi="Times New Roman" w:cs="Times New Roman"/>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DP6533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6533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/sftpecos/Dossiers_parlementaires/6533/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255A50E-4E0F-4952-84AF-587C4F841C8C}"/>
</file>

<file path=customXml/itemProps2.xml><?xml version="1.0" encoding="utf-8"?>
<ds:datastoreItem xmlns:ds="http://schemas.openxmlformats.org/officeDocument/2006/customXml" ds:itemID="{1DC3DA09-C11A-4161-A114-1792A574D449}"/>
</file>

<file path=customXml/itemProps3.xml><?xml version="1.0" encoding="utf-8"?>
<ds:datastoreItem xmlns:ds="http://schemas.openxmlformats.org/officeDocument/2006/customXml" ds:itemID="{D78290D4-4E9E-4DD8-8D8A-F1E1C9AB96D1}"/>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1786</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