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3332DC">
        <w:rPr>
          <w:b/>
          <w:sz w:val="28"/>
          <w:szCs w:val="28"/>
        </w:rPr>
        <w:t>6</w:t>
      </w:r>
      <w:r w:rsidR="00F544DF">
        <w:rPr>
          <w:b/>
          <w:sz w:val="28"/>
          <w:szCs w:val="28"/>
        </w:rPr>
        <w:t>4</w:t>
      </w:r>
      <w:r w:rsidR="006B420F">
        <w:rPr>
          <w:b/>
          <w:sz w:val="28"/>
          <w:szCs w:val="28"/>
        </w:rPr>
        <w:t>74</w:t>
      </w:r>
    </w:p>
    <w:p w:rsidR="00255463" w:rsidRDefault="00255463" w:rsidP="006C0DA4">
      <w:pPr>
        <w:jc w:val="center"/>
        <w:rPr>
          <w:b/>
          <w:sz w:val="28"/>
          <w:szCs w:val="28"/>
        </w:rPr>
      </w:pPr>
    </w:p>
    <w:p w:rsidR="00F544DF" w:rsidRPr="00AF0FA1" w:rsidRDefault="00F544DF" w:rsidP="00F544DF">
      <w:pPr>
        <w:pStyle w:val="Textebrut"/>
        <w:jc w:val="center"/>
        <w:rPr>
          <w:rFonts w:ascii="Arial" w:hAnsi="Arial" w:cs="Arial"/>
          <w:b/>
          <w:bCs/>
          <w:sz w:val="24"/>
          <w:szCs w:val="24"/>
        </w:rPr>
      </w:pPr>
      <w:r w:rsidRPr="00AF0FA1">
        <w:rPr>
          <w:rFonts w:ascii="Arial" w:hAnsi="Arial" w:cs="Arial"/>
          <w:b/>
          <w:bCs/>
          <w:sz w:val="24"/>
          <w:szCs w:val="24"/>
        </w:rPr>
        <w:t>Projet de loi</w:t>
      </w:r>
      <w:r>
        <w:rPr>
          <w:rFonts w:ascii="Arial" w:hAnsi="Arial" w:cs="Arial"/>
          <w:b/>
          <w:bCs/>
          <w:sz w:val="24"/>
          <w:szCs w:val="24"/>
        </w:rPr>
        <w:t xml:space="preserve"> </w:t>
      </w:r>
    </w:p>
    <w:p w:rsidR="00F544DF" w:rsidRPr="00AF0FA1" w:rsidRDefault="00F544DF" w:rsidP="00F544DF">
      <w:pPr>
        <w:pStyle w:val="Textebrut"/>
        <w:jc w:val="center"/>
        <w:rPr>
          <w:rFonts w:ascii="Arial" w:hAnsi="Arial" w:cs="Arial"/>
          <w:b/>
          <w:bCs/>
          <w:sz w:val="24"/>
          <w:szCs w:val="24"/>
        </w:rPr>
      </w:pPr>
    </w:p>
    <w:p w:rsidR="006B420F" w:rsidRPr="00AF0FA1" w:rsidRDefault="006B420F" w:rsidP="006B420F">
      <w:pPr>
        <w:pStyle w:val="Textebrut"/>
        <w:jc w:val="center"/>
        <w:rPr>
          <w:rFonts w:ascii="Arial" w:hAnsi="Arial" w:cs="Arial"/>
          <w:b/>
          <w:bCs/>
          <w:sz w:val="24"/>
          <w:szCs w:val="24"/>
        </w:rPr>
      </w:pPr>
      <w:r>
        <w:rPr>
          <w:rFonts w:ascii="Arial" w:hAnsi="Arial" w:cs="Arial"/>
          <w:b/>
          <w:bCs/>
          <w:sz w:val="24"/>
          <w:szCs w:val="24"/>
        </w:rPr>
        <w:t>accordant la nationalité luxembourgeoise à Madame la Comtesse Stéphanie de Lannoy</w:t>
      </w:r>
    </w:p>
    <w:p w:rsidR="003332DC" w:rsidRPr="00F544DF" w:rsidRDefault="003332DC" w:rsidP="003332DC">
      <w:pPr>
        <w:pStyle w:val="Textebrut"/>
        <w:jc w:val="center"/>
        <w:rPr>
          <w:rFonts w:ascii="Arial" w:hAnsi="Arial" w:cs="Arial"/>
          <w:b/>
          <w:sz w:val="24"/>
          <w:szCs w:val="24"/>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DF3791" w:rsidRDefault="00255463" w:rsidP="00255463">
      <w:pPr>
        <w:jc w:val="center"/>
        <w:rPr>
          <w:rFonts w:ascii="Arial" w:hAnsi="Arial" w:cs="Arial"/>
          <w:b/>
          <w:sz w:val="22"/>
          <w:szCs w:val="22"/>
          <w:u w:val="single"/>
        </w:rPr>
      </w:pPr>
      <w:r w:rsidRPr="00DF3791">
        <w:rPr>
          <w:rFonts w:ascii="Arial" w:hAnsi="Arial" w:cs="Arial"/>
          <w:b/>
          <w:sz w:val="22"/>
          <w:szCs w:val="22"/>
          <w:u w:val="single"/>
        </w:rPr>
        <w:t>Résumé</w:t>
      </w:r>
    </w:p>
    <w:p w:rsidR="00DF3791" w:rsidRPr="00DF3791" w:rsidRDefault="00DF3791" w:rsidP="00DF3791">
      <w:pPr>
        <w:autoSpaceDE w:val="0"/>
        <w:autoSpaceDN w:val="0"/>
        <w:adjustRightInd w:val="0"/>
        <w:rPr>
          <w:rFonts w:ascii="Arial" w:hAnsi="Arial" w:cs="Arial"/>
          <w:b/>
          <w:bCs/>
          <w:sz w:val="22"/>
          <w:szCs w:val="22"/>
        </w:rPr>
      </w:pPr>
    </w:p>
    <w:p w:rsidR="00DF3791" w:rsidRPr="00DF3791" w:rsidRDefault="00DF3791" w:rsidP="00DF3791">
      <w:pPr>
        <w:numPr>
          <w:ilvl w:val="0"/>
          <w:numId w:val="2"/>
        </w:numPr>
        <w:autoSpaceDE w:val="0"/>
        <w:autoSpaceDN w:val="0"/>
        <w:adjustRightInd w:val="0"/>
        <w:jc w:val="both"/>
        <w:rPr>
          <w:rFonts w:ascii="Arial" w:hAnsi="Arial" w:cs="Arial"/>
          <w:sz w:val="22"/>
          <w:szCs w:val="22"/>
          <w:u w:val="single"/>
        </w:rPr>
      </w:pPr>
      <w:r w:rsidRPr="00DF3791">
        <w:rPr>
          <w:rFonts w:ascii="Arial" w:hAnsi="Arial" w:cs="Arial"/>
          <w:sz w:val="22"/>
          <w:szCs w:val="22"/>
          <w:u w:val="single"/>
        </w:rPr>
        <w:t xml:space="preserve">L’initiative gouvernementale: proposition de naturalisation sur base de la loi du 23 octobre 2008 sur la nationalité luxembourgeoise </w:t>
      </w:r>
    </w:p>
    <w:p w:rsidR="00DF3791" w:rsidRPr="00DF3791" w:rsidRDefault="00DF3791" w:rsidP="00DF3791">
      <w:pPr>
        <w:autoSpaceDE w:val="0"/>
        <w:autoSpaceDN w:val="0"/>
        <w:adjustRightInd w:val="0"/>
        <w:ind w:left="360"/>
        <w:jc w:val="both"/>
        <w:rPr>
          <w:rFonts w:ascii="Arial" w:hAnsi="Arial" w:cs="Arial"/>
          <w:sz w:val="22"/>
          <w:szCs w:val="22"/>
          <w:u w:val="single"/>
        </w:rPr>
      </w:pPr>
    </w:p>
    <w:p w:rsidR="00DF3791" w:rsidRPr="00DF3791" w:rsidRDefault="00DF3791" w:rsidP="00DF3791">
      <w:pPr>
        <w:autoSpaceDE w:val="0"/>
        <w:autoSpaceDN w:val="0"/>
        <w:adjustRightInd w:val="0"/>
        <w:jc w:val="both"/>
        <w:rPr>
          <w:rFonts w:ascii="Arial" w:hAnsi="Arial" w:cs="Arial"/>
          <w:sz w:val="22"/>
          <w:szCs w:val="22"/>
        </w:rPr>
      </w:pPr>
      <w:r w:rsidRPr="00DF3791">
        <w:rPr>
          <w:rFonts w:ascii="Arial" w:hAnsi="Arial" w:cs="Arial"/>
          <w:sz w:val="22"/>
          <w:szCs w:val="22"/>
        </w:rPr>
        <w:t>Le projet de loi a pour objet de conférer la nationalité luxembourgeoise à Madame la Comtesse Stéphanie de Lannoy, future épouse du Grand-Duc Héritier Guillaume.</w:t>
      </w:r>
    </w:p>
    <w:p w:rsidR="00DF3791" w:rsidRPr="00DF3791" w:rsidRDefault="00DF3791" w:rsidP="00DF3791">
      <w:pPr>
        <w:autoSpaceDE w:val="0"/>
        <w:autoSpaceDN w:val="0"/>
        <w:adjustRightInd w:val="0"/>
        <w:jc w:val="both"/>
        <w:rPr>
          <w:rFonts w:ascii="Arial" w:hAnsi="Arial" w:cs="Arial"/>
          <w:sz w:val="22"/>
          <w:szCs w:val="22"/>
        </w:rPr>
      </w:pPr>
      <w:r w:rsidRPr="00DF3791">
        <w:rPr>
          <w:rFonts w:ascii="Arial" w:hAnsi="Arial" w:cs="Arial"/>
          <w:sz w:val="22"/>
          <w:szCs w:val="22"/>
        </w:rPr>
        <w:t xml:space="preserve">Les auteurs du projet de loi se basent sur l’article 8, alinéa 2 de la loi du 23 octobre 2008 sur la nationalité luxembourgeoise pour conférer la nationalité luxembourgeoise à Madame la Comtesse Stéphanie de Lannoy. Ils estiment que l’acquisition de la nationalité luxembourgeoise par Madame la Comtesse Stéphanie de Lannoy serait une marque d’attachement et d’allégeance de cette dernière au Souverain. </w:t>
      </w:r>
    </w:p>
    <w:p w:rsidR="00DF3791" w:rsidRPr="00DF3791" w:rsidRDefault="00DF3791" w:rsidP="00DF3791">
      <w:pPr>
        <w:autoSpaceDE w:val="0"/>
        <w:autoSpaceDN w:val="0"/>
        <w:adjustRightInd w:val="0"/>
        <w:jc w:val="both"/>
        <w:rPr>
          <w:rFonts w:ascii="Arial" w:hAnsi="Arial" w:cs="Arial"/>
          <w:sz w:val="22"/>
          <w:szCs w:val="22"/>
        </w:rPr>
      </w:pPr>
    </w:p>
    <w:p w:rsidR="00DF3791" w:rsidRPr="00DF3791" w:rsidRDefault="00DF3791" w:rsidP="00DF3791">
      <w:pPr>
        <w:autoSpaceDE w:val="0"/>
        <w:autoSpaceDN w:val="0"/>
        <w:adjustRightInd w:val="0"/>
        <w:jc w:val="both"/>
        <w:rPr>
          <w:rFonts w:ascii="Arial" w:hAnsi="Arial" w:cs="Arial"/>
          <w:sz w:val="22"/>
          <w:szCs w:val="22"/>
        </w:rPr>
      </w:pPr>
    </w:p>
    <w:p w:rsidR="00DF3791" w:rsidRPr="00DF3791" w:rsidRDefault="00DF3791" w:rsidP="00DF3791">
      <w:pPr>
        <w:numPr>
          <w:ilvl w:val="0"/>
          <w:numId w:val="2"/>
        </w:numPr>
        <w:autoSpaceDE w:val="0"/>
        <w:autoSpaceDN w:val="0"/>
        <w:adjustRightInd w:val="0"/>
        <w:jc w:val="both"/>
        <w:rPr>
          <w:rFonts w:ascii="Arial" w:hAnsi="Arial" w:cs="Arial"/>
          <w:sz w:val="22"/>
          <w:szCs w:val="22"/>
          <w:u w:val="single"/>
        </w:rPr>
      </w:pPr>
      <w:r w:rsidRPr="00DF3791">
        <w:rPr>
          <w:rFonts w:ascii="Arial" w:hAnsi="Arial" w:cs="Arial"/>
          <w:sz w:val="22"/>
          <w:szCs w:val="22"/>
          <w:u w:val="single"/>
        </w:rPr>
        <w:t>Opportunité de l’acquisition de la nationalité luxembourgeoise</w:t>
      </w:r>
    </w:p>
    <w:p w:rsidR="00DF3791" w:rsidRPr="00DF3791" w:rsidRDefault="00DF3791" w:rsidP="00DF3791">
      <w:pPr>
        <w:autoSpaceDE w:val="0"/>
        <w:autoSpaceDN w:val="0"/>
        <w:adjustRightInd w:val="0"/>
        <w:jc w:val="both"/>
        <w:rPr>
          <w:rFonts w:ascii="Arial" w:hAnsi="Arial" w:cs="Arial"/>
          <w:sz w:val="22"/>
          <w:szCs w:val="22"/>
        </w:rPr>
      </w:pPr>
    </w:p>
    <w:p w:rsidR="00DF3791" w:rsidRPr="00DF3791" w:rsidRDefault="00DF3791" w:rsidP="00DF3791">
      <w:pPr>
        <w:pStyle w:val="Textebrut"/>
        <w:rPr>
          <w:rFonts w:ascii="Arial" w:hAnsi="Arial" w:cs="Arial"/>
          <w:bCs/>
          <w:sz w:val="22"/>
          <w:szCs w:val="22"/>
          <w:lang w:val="fr-LU"/>
        </w:rPr>
      </w:pPr>
      <w:r w:rsidRPr="00DF3791">
        <w:rPr>
          <w:rFonts w:ascii="Arial" w:hAnsi="Arial" w:cs="Arial"/>
          <w:sz w:val="22"/>
          <w:szCs w:val="22"/>
        </w:rPr>
        <w:t xml:space="preserve">La Commission juridique a débattu cette question alors que certains membres ont été d’avis qu’il n’existe pas de raison impérieuse pour que Madame </w:t>
      </w:r>
      <w:r w:rsidRPr="00DF3791">
        <w:rPr>
          <w:rFonts w:ascii="Arial" w:hAnsi="Arial" w:cs="Arial"/>
          <w:bCs/>
          <w:sz w:val="22"/>
          <w:szCs w:val="22"/>
        </w:rPr>
        <w:t>la Comtesse Stéphanie de Lannoy</w:t>
      </w:r>
      <w:r w:rsidRPr="00DF3791">
        <w:rPr>
          <w:rFonts w:ascii="Arial" w:hAnsi="Arial" w:cs="Arial"/>
          <w:bCs/>
          <w:sz w:val="22"/>
          <w:szCs w:val="22"/>
          <w:lang w:val="fr-LU"/>
        </w:rPr>
        <w:t xml:space="preserve"> acquière la nationalité luxembourgeoise avant son mariage.</w:t>
      </w:r>
    </w:p>
    <w:p w:rsidR="00DF3791" w:rsidRPr="00DF3791" w:rsidRDefault="00DF3791" w:rsidP="00DF3791">
      <w:pPr>
        <w:pStyle w:val="Textebrut"/>
        <w:rPr>
          <w:rFonts w:ascii="Arial" w:hAnsi="Arial" w:cs="Arial"/>
          <w:bCs/>
          <w:sz w:val="22"/>
          <w:szCs w:val="22"/>
          <w:lang w:val="fr-LU"/>
        </w:rPr>
      </w:pPr>
    </w:p>
    <w:p w:rsidR="00DF3791" w:rsidRPr="00DF3791" w:rsidRDefault="00DF3791" w:rsidP="00DF3791">
      <w:pPr>
        <w:pStyle w:val="Textebrut"/>
        <w:rPr>
          <w:rFonts w:ascii="Arial" w:hAnsi="Arial" w:cs="Arial"/>
          <w:bCs/>
          <w:sz w:val="22"/>
          <w:szCs w:val="22"/>
          <w:lang w:val="fr-LU"/>
        </w:rPr>
      </w:pPr>
      <w:r w:rsidRPr="00DF3791">
        <w:rPr>
          <w:rFonts w:ascii="Arial" w:hAnsi="Arial" w:cs="Arial"/>
          <w:bCs/>
          <w:sz w:val="22"/>
          <w:szCs w:val="22"/>
          <w:lang w:val="fr-LU"/>
        </w:rPr>
        <w:t>La commission entend toutefois réserver une suite favorable au vœux exprimé par le Chef de l’Etat de voir octroyer la nationalité luxembourgeoise à la future épouse du Grand-Duc Héritier.</w:t>
      </w:r>
    </w:p>
    <w:p w:rsidR="00DF3791" w:rsidRPr="00DF3791" w:rsidRDefault="00DF3791" w:rsidP="00DF3791">
      <w:pPr>
        <w:autoSpaceDE w:val="0"/>
        <w:autoSpaceDN w:val="0"/>
        <w:adjustRightInd w:val="0"/>
        <w:jc w:val="both"/>
        <w:rPr>
          <w:rFonts w:ascii="Arial" w:hAnsi="Arial" w:cs="Arial"/>
          <w:sz w:val="22"/>
          <w:szCs w:val="22"/>
        </w:rPr>
      </w:pPr>
    </w:p>
    <w:p w:rsidR="00DF3791" w:rsidRPr="00DF3791" w:rsidRDefault="00DF3791" w:rsidP="00DF3791">
      <w:pPr>
        <w:autoSpaceDE w:val="0"/>
        <w:autoSpaceDN w:val="0"/>
        <w:adjustRightInd w:val="0"/>
        <w:jc w:val="both"/>
        <w:rPr>
          <w:rFonts w:ascii="Arial" w:hAnsi="Arial" w:cs="Arial"/>
          <w:sz w:val="22"/>
          <w:szCs w:val="22"/>
        </w:rPr>
      </w:pPr>
    </w:p>
    <w:p w:rsidR="00DF3791" w:rsidRPr="00DF3791" w:rsidRDefault="00DF3791" w:rsidP="00DF3791">
      <w:pPr>
        <w:numPr>
          <w:ilvl w:val="0"/>
          <w:numId w:val="2"/>
        </w:numPr>
        <w:autoSpaceDE w:val="0"/>
        <w:autoSpaceDN w:val="0"/>
        <w:adjustRightInd w:val="0"/>
        <w:jc w:val="both"/>
        <w:rPr>
          <w:rFonts w:ascii="Arial" w:hAnsi="Arial" w:cs="Arial"/>
          <w:sz w:val="22"/>
          <w:szCs w:val="22"/>
          <w:u w:val="single"/>
        </w:rPr>
      </w:pPr>
      <w:r w:rsidRPr="00DF3791">
        <w:rPr>
          <w:rFonts w:ascii="Arial" w:hAnsi="Arial" w:cs="Arial"/>
          <w:sz w:val="22"/>
          <w:szCs w:val="22"/>
          <w:u w:val="single"/>
        </w:rPr>
        <w:t xml:space="preserve">Octroi de la nationalité luxembourgeoise par le législateur </w:t>
      </w:r>
    </w:p>
    <w:p w:rsidR="00DF3791" w:rsidRPr="00DF3791" w:rsidRDefault="00DF3791" w:rsidP="00DF3791">
      <w:pPr>
        <w:autoSpaceDE w:val="0"/>
        <w:autoSpaceDN w:val="0"/>
        <w:adjustRightInd w:val="0"/>
        <w:jc w:val="both"/>
        <w:rPr>
          <w:rFonts w:ascii="Arial" w:hAnsi="Arial" w:cs="Arial"/>
          <w:sz w:val="22"/>
          <w:szCs w:val="22"/>
        </w:rPr>
      </w:pPr>
    </w:p>
    <w:p w:rsidR="00DF3791" w:rsidRPr="00DF3791" w:rsidRDefault="00DF3791" w:rsidP="00DF3791">
      <w:pPr>
        <w:numPr>
          <w:ilvl w:val="0"/>
          <w:numId w:val="3"/>
        </w:numPr>
        <w:autoSpaceDE w:val="0"/>
        <w:autoSpaceDN w:val="0"/>
        <w:adjustRightInd w:val="0"/>
        <w:jc w:val="both"/>
        <w:rPr>
          <w:rFonts w:ascii="Arial" w:hAnsi="Arial" w:cs="Arial"/>
          <w:i/>
          <w:sz w:val="22"/>
          <w:szCs w:val="22"/>
        </w:rPr>
      </w:pPr>
      <w:r w:rsidRPr="00DF3791">
        <w:rPr>
          <w:rFonts w:ascii="Arial" w:hAnsi="Arial" w:cs="Arial"/>
          <w:i/>
          <w:sz w:val="22"/>
          <w:szCs w:val="22"/>
        </w:rPr>
        <w:t>La Chambre des Députés en tant que premier pouvoir dans l’Etat</w:t>
      </w:r>
    </w:p>
    <w:p w:rsidR="00DF3791" w:rsidRPr="00DF3791" w:rsidRDefault="00DF3791" w:rsidP="00DF3791">
      <w:pPr>
        <w:autoSpaceDE w:val="0"/>
        <w:autoSpaceDN w:val="0"/>
        <w:adjustRightInd w:val="0"/>
        <w:jc w:val="both"/>
        <w:rPr>
          <w:rFonts w:ascii="Arial" w:hAnsi="Arial" w:cs="Arial"/>
          <w:sz w:val="22"/>
          <w:szCs w:val="22"/>
        </w:rPr>
      </w:pPr>
    </w:p>
    <w:p w:rsidR="00DF3791" w:rsidRPr="00DF3791" w:rsidRDefault="00DF3791" w:rsidP="00DF3791">
      <w:pPr>
        <w:autoSpaceDE w:val="0"/>
        <w:autoSpaceDN w:val="0"/>
        <w:adjustRightInd w:val="0"/>
        <w:jc w:val="both"/>
        <w:rPr>
          <w:rFonts w:ascii="Arial" w:hAnsi="Arial" w:cs="Arial"/>
          <w:sz w:val="22"/>
          <w:szCs w:val="22"/>
        </w:rPr>
      </w:pPr>
      <w:r w:rsidRPr="00DF3791">
        <w:rPr>
          <w:rFonts w:ascii="Arial" w:hAnsi="Arial" w:cs="Arial"/>
          <w:sz w:val="22"/>
          <w:szCs w:val="22"/>
        </w:rPr>
        <w:t xml:space="preserve">L’interprétation que le Gouvernement réserve à l’article 8, alinéa 2, de la loi du 23 octobre 2008 ne fait pas l’unanimité au sein de la Commission juridique. Une suite logique du raisonnement du Gouvernement aboutirait en effet à faire de la Chambre des Députés un prisonnier de l’article 9 de la loi précitée. En d’autres termes, la Chambre des Députés, après avoir été saisie par le Gouvernement d’une proposition de naturalisation, aurait la faculté, ou bien de suivre le Gouvernement, ou bien de rejeter ladite proposition. </w:t>
      </w:r>
    </w:p>
    <w:p w:rsidR="00DF3791" w:rsidRPr="00DF3791" w:rsidRDefault="00DF3791" w:rsidP="00DF3791">
      <w:pPr>
        <w:autoSpaceDE w:val="0"/>
        <w:autoSpaceDN w:val="0"/>
        <w:adjustRightInd w:val="0"/>
        <w:jc w:val="both"/>
        <w:rPr>
          <w:rFonts w:ascii="Arial" w:hAnsi="Arial" w:cs="Arial"/>
          <w:sz w:val="22"/>
          <w:szCs w:val="22"/>
        </w:rPr>
      </w:pPr>
    </w:p>
    <w:p w:rsidR="00DF3791" w:rsidRPr="00DF3791" w:rsidRDefault="00DF3791" w:rsidP="00DF3791">
      <w:pPr>
        <w:autoSpaceDE w:val="0"/>
        <w:autoSpaceDN w:val="0"/>
        <w:adjustRightInd w:val="0"/>
        <w:jc w:val="both"/>
        <w:rPr>
          <w:rFonts w:ascii="Arial" w:hAnsi="Arial" w:cs="Arial"/>
          <w:sz w:val="22"/>
          <w:szCs w:val="22"/>
        </w:rPr>
      </w:pPr>
      <w:r w:rsidRPr="00DF3791">
        <w:rPr>
          <w:rFonts w:ascii="Arial" w:hAnsi="Arial" w:cs="Arial"/>
          <w:sz w:val="22"/>
          <w:szCs w:val="22"/>
        </w:rPr>
        <w:t>Il convient cependant de rappeler «</w:t>
      </w:r>
      <w:r w:rsidRPr="00DF3791">
        <w:rPr>
          <w:rFonts w:ascii="Arial" w:hAnsi="Arial" w:cs="Arial"/>
          <w:i/>
          <w:sz w:val="22"/>
          <w:szCs w:val="22"/>
        </w:rPr>
        <w:t>le rôle central de la Chambre des Députés dans les affaires institutionnelles et politiques du pays</w:t>
      </w:r>
      <w:r w:rsidRPr="00DF3791">
        <w:rPr>
          <w:rFonts w:ascii="Arial" w:hAnsi="Arial" w:cs="Arial"/>
          <w:sz w:val="22"/>
          <w:szCs w:val="22"/>
        </w:rPr>
        <w:t>»</w:t>
      </w:r>
      <w:r w:rsidRPr="00DF3791">
        <w:rPr>
          <w:rStyle w:val="Appelnotedebasdep"/>
          <w:rFonts w:ascii="Arial" w:hAnsi="Arial" w:cs="Arial"/>
          <w:sz w:val="22"/>
          <w:szCs w:val="22"/>
        </w:rPr>
        <w:footnoteReference w:id="1"/>
      </w:r>
      <w:r w:rsidRPr="00DF3791">
        <w:rPr>
          <w:rFonts w:ascii="Arial" w:hAnsi="Arial" w:cs="Arial"/>
          <w:sz w:val="22"/>
          <w:szCs w:val="22"/>
        </w:rPr>
        <w:t xml:space="preserve"> et «</w:t>
      </w:r>
      <w:r w:rsidRPr="00DF3791">
        <w:rPr>
          <w:rFonts w:ascii="Arial" w:hAnsi="Arial" w:cs="Arial"/>
          <w:i/>
          <w:sz w:val="22"/>
          <w:szCs w:val="22"/>
        </w:rPr>
        <w:t>la prééminence réelle du Parlement face aux autres pouvoirs dans le jeu institutionnel</w:t>
      </w:r>
      <w:r w:rsidRPr="00DF3791">
        <w:rPr>
          <w:rFonts w:ascii="Arial" w:hAnsi="Arial" w:cs="Arial"/>
          <w:sz w:val="22"/>
          <w:szCs w:val="22"/>
        </w:rPr>
        <w:t>»</w:t>
      </w:r>
      <w:r w:rsidRPr="00DF3791">
        <w:rPr>
          <w:rStyle w:val="Appelnotedebasdep"/>
          <w:rFonts w:ascii="Arial" w:hAnsi="Arial" w:cs="Arial"/>
          <w:sz w:val="22"/>
          <w:szCs w:val="22"/>
        </w:rPr>
        <w:footnoteReference w:id="2"/>
      </w:r>
      <w:r w:rsidRPr="00DF3791">
        <w:rPr>
          <w:rFonts w:ascii="Arial" w:hAnsi="Arial" w:cs="Arial"/>
          <w:sz w:val="22"/>
          <w:szCs w:val="22"/>
        </w:rPr>
        <w:t>. L’adoption du projet de loi «</w:t>
      </w:r>
      <w:r w:rsidRPr="00DF3791">
        <w:rPr>
          <w:rFonts w:ascii="Arial" w:hAnsi="Arial" w:cs="Arial"/>
          <w:i/>
          <w:sz w:val="22"/>
          <w:szCs w:val="22"/>
        </w:rPr>
        <w:t xml:space="preserve">[…] équivaut dès </w:t>
      </w:r>
      <w:r w:rsidRPr="00DF3791">
        <w:rPr>
          <w:rFonts w:ascii="Arial" w:hAnsi="Arial" w:cs="Arial"/>
          <w:i/>
          <w:sz w:val="22"/>
          <w:szCs w:val="22"/>
        </w:rPr>
        <w:lastRenderedPageBreak/>
        <w:t>lors à l’émanation d’un acte souverain posé par la Chambre des Députés en tant qu’organe institutionnel</w:t>
      </w:r>
      <w:r w:rsidRPr="00DF3791">
        <w:rPr>
          <w:rStyle w:val="Appelnotedebasdep"/>
          <w:rFonts w:ascii="Arial" w:hAnsi="Arial" w:cs="Arial"/>
          <w:sz w:val="22"/>
          <w:szCs w:val="22"/>
        </w:rPr>
        <w:t>»</w:t>
      </w:r>
      <w:r w:rsidRPr="00DF3791">
        <w:rPr>
          <w:rStyle w:val="Appelnotedebasdep"/>
          <w:rFonts w:ascii="Arial" w:hAnsi="Arial" w:cs="Arial"/>
          <w:sz w:val="22"/>
          <w:szCs w:val="22"/>
        </w:rPr>
        <w:footnoteReference w:id="3"/>
      </w:r>
      <w:r w:rsidRPr="00DF3791">
        <w:rPr>
          <w:rFonts w:ascii="Arial" w:hAnsi="Arial" w:cs="Arial"/>
          <w:sz w:val="22"/>
          <w:szCs w:val="22"/>
        </w:rPr>
        <w:t xml:space="preserve">. </w:t>
      </w:r>
    </w:p>
    <w:p w:rsidR="00DF3791" w:rsidRPr="00DF3791" w:rsidRDefault="00DF3791" w:rsidP="00DF3791">
      <w:pPr>
        <w:autoSpaceDE w:val="0"/>
        <w:autoSpaceDN w:val="0"/>
        <w:adjustRightInd w:val="0"/>
        <w:jc w:val="both"/>
        <w:rPr>
          <w:rFonts w:ascii="Arial" w:hAnsi="Arial" w:cs="Arial"/>
          <w:sz w:val="22"/>
          <w:szCs w:val="22"/>
        </w:rPr>
      </w:pPr>
    </w:p>
    <w:p w:rsidR="00DF3791" w:rsidRPr="00DF3791" w:rsidRDefault="00DF3791" w:rsidP="00DF3791">
      <w:pPr>
        <w:autoSpaceDE w:val="0"/>
        <w:autoSpaceDN w:val="0"/>
        <w:adjustRightInd w:val="0"/>
        <w:jc w:val="both"/>
        <w:rPr>
          <w:rFonts w:ascii="Arial" w:hAnsi="Arial" w:cs="Arial"/>
          <w:sz w:val="22"/>
          <w:szCs w:val="22"/>
        </w:rPr>
      </w:pPr>
      <w:r w:rsidRPr="00DF3791">
        <w:rPr>
          <w:rFonts w:ascii="Arial" w:hAnsi="Arial" w:cs="Arial"/>
          <w:sz w:val="22"/>
          <w:szCs w:val="22"/>
        </w:rPr>
        <w:t>Le législateur agit de la sorte par le biais d’une loi spéciale venant déroger à une loi générale suivant la locution latine «</w:t>
      </w:r>
      <w:r w:rsidRPr="00DF3791">
        <w:rPr>
          <w:rFonts w:ascii="Arial" w:hAnsi="Arial" w:cs="Arial"/>
          <w:i/>
          <w:sz w:val="22"/>
          <w:szCs w:val="22"/>
        </w:rPr>
        <w:t>specialia generalibus derogant</w:t>
      </w:r>
      <w:r w:rsidRPr="00DF3791">
        <w:rPr>
          <w:rFonts w:ascii="Arial" w:hAnsi="Arial" w:cs="Arial"/>
          <w:sz w:val="22"/>
          <w:szCs w:val="22"/>
        </w:rPr>
        <w:t>»</w:t>
      </w:r>
      <w:r w:rsidRPr="00DF3791">
        <w:rPr>
          <w:rStyle w:val="Appelnotedebasdep"/>
          <w:rFonts w:ascii="Arial" w:hAnsi="Arial" w:cs="Arial"/>
          <w:sz w:val="22"/>
          <w:szCs w:val="22"/>
        </w:rPr>
        <w:footnoteReference w:id="4"/>
      </w:r>
      <w:r w:rsidRPr="00DF3791">
        <w:rPr>
          <w:rFonts w:ascii="Arial" w:hAnsi="Arial" w:cs="Arial"/>
          <w:sz w:val="22"/>
          <w:szCs w:val="22"/>
        </w:rPr>
        <w:t>. Cette loi trouve son fondement dans l’article 9, alinéa 1</w:t>
      </w:r>
      <w:r w:rsidRPr="00DF3791">
        <w:rPr>
          <w:rFonts w:ascii="Arial" w:hAnsi="Arial" w:cs="Arial"/>
          <w:sz w:val="22"/>
          <w:szCs w:val="22"/>
          <w:vertAlign w:val="superscript"/>
        </w:rPr>
        <w:t>er</w:t>
      </w:r>
      <w:r w:rsidRPr="00DF3791">
        <w:rPr>
          <w:rFonts w:ascii="Arial" w:hAnsi="Arial" w:cs="Arial"/>
          <w:sz w:val="22"/>
          <w:szCs w:val="22"/>
        </w:rPr>
        <w:t xml:space="preserve"> de la Constitution luxembourgeoise.</w:t>
      </w:r>
    </w:p>
    <w:p w:rsidR="00DF3791" w:rsidRPr="00DF3791" w:rsidRDefault="00DF3791" w:rsidP="00DF3791">
      <w:pPr>
        <w:autoSpaceDE w:val="0"/>
        <w:autoSpaceDN w:val="0"/>
        <w:adjustRightInd w:val="0"/>
        <w:jc w:val="both"/>
        <w:rPr>
          <w:rFonts w:ascii="Arial" w:hAnsi="Arial" w:cs="Arial"/>
          <w:sz w:val="22"/>
          <w:szCs w:val="22"/>
        </w:rPr>
      </w:pPr>
    </w:p>
    <w:p w:rsidR="00DF3791" w:rsidRPr="00DF3791" w:rsidRDefault="00DF3791" w:rsidP="00DF3791">
      <w:pPr>
        <w:autoSpaceDE w:val="0"/>
        <w:autoSpaceDN w:val="0"/>
        <w:adjustRightInd w:val="0"/>
        <w:jc w:val="both"/>
        <w:rPr>
          <w:rFonts w:ascii="Arial" w:hAnsi="Arial" w:cs="Arial"/>
          <w:sz w:val="22"/>
          <w:szCs w:val="22"/>
        </w:rPr>
      </w:pPr>
    </w:p>
    <w:p w:rsidR="00DF3791" w:rsidRPr="00DF3791" w:rsidRDefault="00DF3791" w:rsidP="00DF3791">
      <w:pPr>
        <w:numPr>
          <w:ilvl w:val="0"/>
          <w:numId w:val="3"/>
        </w:numPr>
        <w:autoSpaceDE w:val="0"/>
        <w:autoSpaceDN w:val="0"/>
        <w:adjustRightInd w:val="0"/>
        <w:jc w:val="both"/>
        <w:rPr>
          <w:rFonts w:ascii="Arial" w:hAnsi="Arial" w:cs="Arial"/>
          <w:i/>
          <w:sz w:val="22"/>
          <w:szCs w:val="22"/>
        </w:rPr>
      </w:pPr>
      <w:r w:rsidRPr="00DF3791">
        <w:rPr>
          <w:rFonts w:ascii="Arial" w:hAnsi="Arial" w:cs="Arial"/>
          <w:i/>
          <w:sz w:val="22"/>
          <w:szCs w:val="22"/>
        </w:rPr>
        <w:t>Les limites à l’action de la Chambre des Députés: le principe de l’égalité devant la loi</w:t>
      </w:r>
    </w:p>
    <w:p w:rsidR="00DF3791" w:rsidRPr="00DF3791" w:rsidRDefault="00DF3791" w:rsidP="00DF3791">
      <w:pPr>
        <w:autoSpaceDE w:val="0"/>
        <w:autoSpaceDN w:val="0"/>
        <w:adjustRightInd w:val="0"/>
        <w:jc w:val="both"/>
        <w:rPr>
          <w:rFonts w:ascii="Arial" w:hAnsi="Arial" w:cs="Arial"/>
          <w:sz w:val="22"/>
          <w:szCs w:val="22"/>
        </w:rPr>
      </w:pPr>
    </w:p>
    <w:p w:rsidR="00DF3791" w:rsidRPr="00DF3791" w:rsidRDefault="00DF3791" w:rsidP="00DF3791">
      <w:pPr>
        <w:autoSpaceDE w:val="0"/>
        <w:autoSpaceDN w:val="0"/>
        <w:adjustRightInd w:val="0"/>
        <w:jc w:val="both"/>
        <w:rPr>
          <w:rFonts w:ascii="Arial" w:hAnsi="Arial" w:cs="Arial"/>
          <w:sz w:val="22"/>
          <w:szCs w:val="22"/>
        </w:rPr>
      </w:pPr>
      <w:r w:rsidRPr="00DF3791">
        <w:rPr>
          <w:rFonts w:ascii="Arial" w:hAnsi="Arial" w:cs="Arial"/>
          <w:sz w:val="22"/>
          <w:szCs w:val="22"/>
        </w:rPr>
        <w:t>Même si la Chambre des Députés incarne le premier pouvoir dans l’Etat, son action doit évidemment respecter les dispositions de la Constitution et les principes généraux du droit, parmi lesquels figure notamment le principe de l’égalité devant la loi.</w:t>
      </w:r>
    </w:p>
    <w:p w:rsidR="00DF3791" w:rsidRPr="00DF3791" w:rsidRDefault="00DF3791" w:rsidP="00DF3791">
      <w:pPr>
        <w:autoSpaceDE w:val="0"/>
        <w:autoSpaceDN w:val="0"/>
        <w:adjustRightInd w:val="0"/>
        <w:jc w:val="both"/>
        <w:rPr>
          <w:rFonts w:ascii="Arial" w:hAnsi="Arial" w:cs="Arial"/>
          <w:sz w:val="22"/>
          <w:szCs w:val="22"/>
        </w:rPr>
      </w:pPr>
    </w:p>
    <w:p w:rsidR="00DF3791" w:rsidRPr="00DF3791" w:rsidRDefault="00DF3791" w:rsidP="00DF3791">
      <w:pPr>
        <w:autoSpaceDE w:val="0"/>
        <w:autoSpaceDN w:val="0"/>
        <w:adjustRightInd w:val="0"/>
        <w:jc w:val="both"/>
        <w:rPr>
          <w:rFonts w:ascii="Arial" w:hAnsi="Arial" w:cs="Arial"/>
          <w:sz w:val="22"/>
          <w:szCs w:val="22"/>
        </w:rPr>
      </w:pPr>
      <w:r w:rsidRPr="00DF3791">
        <w:rPr>
          <w:rFonts w:ascii="Arial" w:hAnsi="Arial" w:cs="Arial"/>
          <w:sz w:val="22"/>
          <w:szCs w:val="22"/>
        </w:rPr>
        <w:t>Malgré sa formulation, ce principe fondamental inscrit à l’article 10bis, paragraphe 1</w:t>
      </w:r>
      <w:r w:rsidRPr="00DF3791">
        <w:rPr>
          <w:rFonts w:ascii="Arial" w:hAnsi="Arial" w:cs="Arial"/>
          <w:sz w:val="22"/>
          <w:szCs w:val="22"/>
          <w:vertAlign w:val="superscript"/>
        </w:rPr>
        <w:t>er</w:t>
      </w:r>
      <w:r w:rsidRPr="00DF3791">
        <w:rPr>
          <w:rFonts w:ascii="Arial" w:hAnsi="Arial" w:cs="Arial"/>
          <w:sz w:val="22"/>
          <w:szCs w:val="22"/>
        </w:rPr>
        <w:t xml:space="preserve"> de la Constitution luxembourgeoise vise aussi bien les Luxembourgeois que les non-Luxembourgeois</w:t>
      </w:r>
      <w:r w:rsidRPr="00DF3791">
        <w:rPr>
          <w:rStyle w:val="Appelnotedebasdep"/>
          <w:rFonts w:ascii="Arial" w:hAnsi="Arial" w:cs="Arial"/>
          <w:sz w:val="22"/>
          <w:szCs w:val="22"/>
        </w:rPr>
        <w:footnoteReference w:id="5"/>
      </w:r>
      <w:r w:rsidRPr="00DF3791">
        <w:rPr>
          <w:rFonts w:ascii="Arial" w:hAnsi="Arial" w:cs="Arial"/>
          <w:sz w:val="22"/>
          <w:szCs w:val="22"/>
        </w:rPr>
        <w:t xml:space="preserve">. </w:t>
      </w:r>
    </w:p>
    <w:p w:rsidR="00DF3791" w:rsidRPr="00DF3791" w:rsidRDefault="00DF3791" w:rsidP="00DF3791">
      <w:pPr>
        <w:autoSpaceDE w:val="0"/>
        <w:autoSpaceDN w:val="0"/>
        <w:adjustRightInd w:val="0"/>
        <w:jc w:val="both"/>
        <w:rPr>
          <w:rFonts w:ascii="Arial" w:hAnsi="Arial" w:cs="Arial"/>
          <w:sz w:val="22"/>
          <w:szCs w:val="22"/>
        </w:rPr>
      </w:pPr>
    </w:p>
    <w:p w:rsidR="00DF3791" w:rsidRPr="00DF3791" w:rsidRDefault="00DF3791" w:rsidP="00DF3791">
      <w:pPr>
        <w:autoSpaceDE w:val="0"/>
        <w:autoSpaceDN w:val="0"/>
        <w:adjustRightInd w:val="0"/>
        <w:jc w:val="both"/>
        <w:rPr>
          <w:rFonts w:ascii="Arial" w:hAnsi="Arial" w:cs="Arial"/>
          <w:sz w:val="22"/>
          <w:szCs w:val="22"/>
        </w:rPr>
      </w:pPr>
      <w:r w:rsidRPr="00DF3791">
        <w:rPr>
          <w:rFonts w:ascii="Arial" w:hAnsi="Arial" w:cs="Arial"/>
          <w:sz w:val="22"/>
          <w:szCs w:val="22"/>
        </w:rPr>
        <w:t>A s’en tenir à cette définition juridique du principe de l’égalité devant la loi, l’adoption d’une loi spéciale pose dès lors problème. La Cour Constitutionnelle luxembourgeoise admet cependant que «</w:t>
      </w:r>
      <w:r w:rsidRPr="00DF3791">
        <w:rPr>
          <w:rFonts w:ascii="Arial" w:hAnsi="Arial" w:cs="Arial"/>
          <w:i/>
          <w:sz w:val="22"/>
          <w:szCs w:val="22"/>
        </w:rPr>
        <w:t>le législateur peut, sans violer le principe constitutionnel de l’égalité, soumettre certaines catégories de personnes à des régimes légaux différents à condition que la différence instituée procède de disparités objectives, qu’elle soit rationnellement justifiée, adéquate et proportionnée au but.</w:t>
      </w:r>
      <w:r w:rsidRPr="00DF3791">
        <w:rPr>
          <w:rFonts w:ascii="Arial" w:hAnsi="Arial" w:cs="Arial"/>
          <w:sz w:val="22"/>
          <w:szCs w:val="22"/>
        </w:rPr>
        <w:t>»</w:t>
      </w:r>
      <w:r w:rsidRPr="00DF3791">
        <w:rPr>
          <w:rStyle w:val="Appelnotedebasdep"/>
          <w:rFonts w:ascii="Arial" w:hAnsi="Arial" w:cs="Arial"/>
          <w:sz w:val="22"/>
          <w:szCs w:val="22"/>
        </w:rPr>
        <w:footnoteReference w:id="6"/>
      </w:r>
    </w:p>
    <w:p w:rsidR="00DF3791" w:rsidRPr="00DF3791" w:rsidRDefault="00DF3791" w:rsidP="00DF3791">
      <w:pPr>
        <w:autoSpaceDE w:val="0"/>
        <w:autoSpaceDN w:val="0"/>
        <w:adjustRightInd w:val="0"/>
        <w:jc w:val="both"/>
        <w:rPr>
          <w:rFonts w:ascii="Arial" w:hAnsi="Arial" w:cs="Arial"/>
          <w:sz w:val="22"/>
          <w:szCs w:val="22"/>
        </w:rPr>
      </w:pPr>
    </w:p>
    <w:p w:rsidR="00DF3791" w:rsidRPr="00DF3791" w:rsidRDefault="00DF3791" w:rsidP="00DF3791">
      <w:pPr>
        <w:autoSpaceDE w:val="0"/>
        <w:autoSpaceDN w:val="0"/>
        <w:adjustRightInd w:val="0"/>
        <w:jc w:val="both"/>
        <w:rPr>
          <w:rFonts w:ascii="Arial" w:hAnsi="Arial" w:cs="Arial"/>
          <w:sz w:val="22"/>
          <w:szCs w:val="22"/>
        </w:rPr>
      </w:pPr>
      <w:r w:rsidRPr="00DF3791">
        <w:rPr>
          <w:rFonts w:ascii="Arial" w:hAnsi="Arial" w:cs="Arial"/>
          <w:sz w:val="22"/>
          <w:szCs w:val="22"/>
        </w:rPr>
        <w:t xml:space="preserve">La situation de Madame la Comtesse Stéphanie de Lannoy diffère de celle de tout autre résident non-luxembourgeois. </w:t>
      </w:r>
    </w:p>
    <w:p w:rsidR="00DF3791" w:rsidRPr="00DF3791" w:rsidRDefault="00DF3791" w:rsidP="00DF3791">
      <w:pPr>
        <w:autoSpaceDE w:val="0"/>
        <w:autoSpaceDN w:val="0"/>
        <w:adjustRightInd w:val="0"/>
        <w:jc w:val="both"/>
        <w:rPr>
          <w:rFonts w:ascii="Arial" w:hAnsi="Arial" w:cs="Arial"/>
          <w:sz w:val="22"/>
          <w:szCs w:val="22"/>
        </w:rPr>
      </w:pPr>
    </w:p>
    <w:p w:rsidR="00DF3791" w:rsidRPr="00DF3791" w:rsidRDefault="00DF3791" w:rsidP="00DF3791">
      <w:pPr>
        <w:autoSpaceDE w:val="0"/>
        <w:autoSpaceDN w:val="0"/>
        <w:adjustRightInd w:val="0"/>
        <w:jc w:val="both"/>
        <w:rPr>
          <w:rFonts w:ascii="Arial" w:hAnsi="Arial" w:cs="Arial"/>
          <w:sz w:val="22"/>
          <w:szCs w:val="22"/>
        </w:rPr>
      </w:pPr>
      <w:r w:rsidRPr="00DF3791">
        <w:rPr>
          <w:rFonts w:ascii="Arial" w:hAnsi="Arial" w:cs="Arial"/>
          <w:sz w:val="22"/>
          <w:szCs w:val="22"/>
        </w:rPr>
        <w:t xml:space="preserve">En effet, la Comtesse deviendra l’épouse du Grand-Duc Héritier Guillaume. </w:t>
      </w:r>
    </w:p>
    <w:p w:rsidR="00DF3791" w:rsidRPr="00DF3791" w:rsidRDefault="00DF3791" w:rsidP="00DF3791">
      <w:pPr>
        <w:autoSpaceDE w:val="0"/>
        <w:autoSpaceDN w:val="0"/>
        <w:adjustRightInd w:val="0"/>
        <w:jc w:val="both"/>
        <w:rPr>
          <w:rFonts w:ascii="Arial" w:hAnsi="Arial" w:cs="Arial"/>
          <w:sz w:val="22"/>
          <w:szCs w:val="22"/>
        </w:rPr>
      </w:pPr>
    </w:p>
    <w:p w:rsidR="00DF3791" w:rsidRPr="00DF3791" w:rsidRDefault="00DF3791" w:rsidP="00DF3791">
      <w:pPr>
        <w:autoSpaceDE w:val="0"/>
        <w:autoSpaceDN w:val="0"/>
        <w:adjustRightInd w:val="0"/>
        <w:jc w:val="both"/>
        <w:rPr>
          <w:rFonts w:ascii="Arial" w:hAnsi="Arial" w:cs="Arial"/>
          <w:sz w:val="22"/>
          <w:szCs w:val="22"/>
        </w:rPr>
      </w:pPr>
      <w:r w:rsidRPr="00DF3791">
        <w:rPr>
          <w:rFonts w:ascii="Arial" w:hAnsi="Arial" w:cs="Arial"/>
          <w:sz w:val="22"/>
          <w:szCs w:val="22"/>
        </w:rPr>
        <w:t xml:space="preserve">En cette qualité - et même si notre Constitution ne lui réserve pas un rôle institutionnel - elle sera </w:t>
      </w:r>
      <w:r w:rsidRPr="00DF3791">
        <w:rPr>
          <w:rFonts w:ascii="Arial" w:hAnsi="Arial" w:cs="Arial"/>
          <w:i/>
          <w:sz w:val="22"/>
          <w:szCs w:val="22"/>
        </w:rPr>
        <w:t>de facto</w:t>
      </w:r>
      <w:r w:rsidRPr="00DF3791">
        <w:rPr>
          <w:rFonts w:ascii="Arial" w:hAnsi="Arial" w:cs="Arial"/>
          <w:sz w:val="22"/>
          <w:szCs w:val="22"/>
        </w:rPr>
        <w:t xml:space="preserve"> amenée à représenter le Grand-Duché de Luxembourg aux côtés du futur Chef de l’Etat. </w:t>
      </w:r>
    </w:p>
    <w:p w:rsidR="00DF3791" w:rsidRPr="00DF3791" w:rsidRDefault="00DF3791" w:rsidP="00DF3791">
      <w:pPr>
        <w:autoSpaceDE w:val="0"/>
        <w:autoSpaceDN w:val="0"/>
        <w:adjustRightInd w:val="0"/>
        <w:jc w:val="both"/>
        <w:rPr>
          <w:rFonts w:ascii="Arial" w:hAnsi="Arial" w:cs="Arial"/>
          <w:sz w:val="22"/>
          <w:szCs w:val="22"/>
        </w:rPr>
      </w:pPr>
    </w:p>
    <w:p w:rsidR="00DF3791" w:rsidRPr="00DF3791" w:rsidRDefault="00DF3791" w:rsidP="00DF3791">
      <w:pPr>
        <w:autoSpaceDE w:val="0"/>
        <w:autoSpaceDN w:val="0"/>
        <w:adjustRightInd w:val="0"/>
        <w:jc w:val="both"/>
        <w:rPr>
          <w:rFonts w:ascii="Arial" w:hAnsi="Arial" w:cs="Arial"/>
          <w:sz w:val="22"/>
          <w:szCs w:val="22"/>
        </w:rPr>
      </w:pPr>
      <w:r w:rsidRPr="00DF3791">
        <w:rPr>
          <w:rFonts w:ascii="Arial" w:hAnsi="Arial" w:cs="Arial"/>
          <w:sz w:val="22"/>
          <w:szCs w:val="22"/>
        </w:rPr>
        <w:t>En plus, sa position future de membre exposé de la maison souveraine, l’emmènera à accomplir des tâches représentatives dans les domaines les plus divers tels que l’aide et l’assistance sociale, la culture, la philanthropie.</w:t>
      </w:r>
    </w:p>
    <w:p w:rsidR="00DF3791" w:rsidRPr="00DF3791" w:rsidRDefault="00DF3791" w:rsidP="00DF3791">
      <w:pPr>
        <w:autoSpaceDE w:val="0"/>
        <w:autoSpaceDN w:val="0"/>
        <w:adjustRightInd w:val="0"/>
        <w:jc w:val="both"/>
        <w:rPr>
          <w:rFonts w:ascii="Arial" w:hAnsi="Arial" w:cs="Arial"/>
          <w:sz w:val="22"/>
          <w:szCs w:val="22"/>
        </w:rPr>
      </w:pPr>
    </w:p>
    <w:p w:rsidR="00DF3791" w:rsidRPr="00DF3791" w:rsidRDefault="00DF3791" w:rsidP="00DF3791">
      <w:pPr>
        <w:autoSpaceDE w:val="0"/>
        <w:autoSpaceDN w:val="0"/>
        <w:adjustRightInd w:val="0"/>
        <w:jc w:val="both"/>
        <w:rPr>
          <w:rFonts w:ascii="Arial" w:hAnsi="Arial" w:cs="Arial"/>
          <w:sz w:val="22"/>
          <w:szCs w:val="22"/>
        </w:rPr>
      </w:pPr>
    </w:p>
    <w:p w:rsidR="00DF3791" w:rsidRPr="00DF3791" w:rsidRDefault="00DF3791" w:rsidP="00DF3791">
      <w:pPr>
        <w:numPr>
          <w:ilvl w:val="0"/>
          <w:numId w:val="3"/>
        </w:numPr>
        <w:autoSpaceDE w:val="0"/>
        <w:autoSpaceDN w:val="0"/>
        <w:adjustRightInd w:val="0"/>
        <w:jc w:val="both"/>
        <w:rPr>
          <w:rFonts w:ascii="Arial" w:hAnsi="Arial" w:cs="Arial"/>
          <w:i/>
          <w:sz w:val="22"/>
          <w:szCs w:val="22"/>
        </w:rPr>
      </w:pPr>
      <w:r w:rsidRPr="00DF3791">
        <w:rPr>
          <w:rFonts w:ascii="Arial" w:hAnsi="Arial" w:cs="Arial"/>
          <w:i/>
          <w:sz w:val="22"/>
          <w:szCs w:val="22"/>
        </w:rPr>
        <w:t>Conclusion</w:t>
      </w:r>
    </w:p>
    <w:p w:rsidR="00DF3791" w:rsidRPr="00DF3791" w:rsidRDefault="00DF3791" w:rsidP="00DF3791">
      <w:pPr>
        <w:autoSpaceDE w:val="0"/>
        <w:autoSpaceDN w:val="0"/>
        <w:adjustRightInd w:val="0"/>
        <w:jc w:val="both"/>
        <w:rPr>
          <w:rFonts w:ascii="Arial" w:hAnsi="Arial" w:cs="Arial"/>
          <w:sz w:val="22"/>
          <w:szCs w:val="22"/>
        </w:rPr>
      </w:pPr>
    </w:p>
    <w:p w:rsidR="00DF3791" w:rsidRPr="00DF3791" w:rsidRDefault="00DF3791" w:rsidP="00DF3791">
      <w:pPr>
        <w:autoSpaceDE w:val="0"/>
        <w:autoSpaceDN w:val="0"/>
        <w:adjustRightInd w:val="0"/>
        <w:jc w:val="both"/>
        <w:rPr>
          <w:rFonts w:ascii="Arial" w:hAnsi="Arial" w:cs="Arial"/>
          <w:sz w:val="22"/>
          <w:szCs w:val="22"/>
        </w:rPr>
      </w:pPr>
      <w:r w:rsidRPr="00DF3791">
        <w:rPr>
          <w:rFonts w:ascii="Arial" w:hAnsi="Arial" w:cs="Arial"/>
          <w:sz w:val="22"/>
          <w:szCs w:val="22"/>
        </w:rPr>
        <w:t>Il ne fait donc pas de doute que Madame la Comtesse Stéphanie de Lannoy se trouve dans une situation qui n’est pas comparable aux autres résidents non-luxembourgeois candidats à la nationalité.</w:t>
      </w:r>
    </w:p>
    <w:p w:rsidR="00DF3791" w:rsidRPr="00DF3791" w:rsidRDefault="00DF3791" w:rsidP="00DF3791">
      <w:pPr>
        <w:autoSpaceDE w:val="0"/>
        <w:autoSpaceDN w:val="0"/>
        <w:adjustRightInd w:val="0"/>
        <w:jc w:val="both"/>
        <w:rPr>
          <w:rFonts w:ascii="Arial" w:hAnsi="Arial" w:cs="Arial"/>
          <w:sz w:val="22"/>
          <w:szCs w:val="22"/>
        </w:rPr>
      </w:pPr>
    </w:p>
    <w:p w:rsidR="00DF3791" w:rsidRPr="00DF3791" w:rsidRDefault="00DF3791" w:rsidP="00DF3791">
      <w:pPr>
        <w:autoSpaceDE w:val="0"/>
        <w:autoSpaceDN w:val="0"/>
        <w:adjustRightInd w:val="0"/>
        <w:jc w:val="both"/>
        <w:rPr>
          <w:rFonts w:ascii="Arial" w:hAnsi="Arial" w:cs="Arial"/>
          <w:sz w:val="22"/>
          <w:szCs w:val="22"/>
        </w:rPr>
      </w:pPr>
      <w:r w:rsidRPr="00DF3791">
        <w:rPr>
          <w:rFonts w:ascii="Arial" w:hAnsi="Arial" w:cs="Arial"/>
          <w:sz w:val="22"/>
          <w:szCs w:val="22"/>
        </w:rPr>
        <w:t xml:space="preserve">L’acquisition de la nationalité luxembourgeoise ne saurait d’ailleurs être interprétée comme une marque d’allégeance de Madame la Comtesse Stéphanie de Lannoy au Souverain. Elle sera davantage un moyen d’identification de sa personne avec son futur rôle d’épouse du Grand-Duc Héritier et le peuple luxembourgeois. </w:t>
      </w:r>
    </w:p>
    <w:p w:rsidR="00DF3791" w:rsidRPr="00DF3791" w:rsidRDefault="00DF3791" w:rsidP="00DF3791">
      <w:pPr>
        <w:jc w:val="both"/>
        <w:rPr>
          <w:rFonts w:ascii="Arial" w:hAnsi="Arial" w:cs="Arial"/>
          <w:sz w:val="22"/>
          <w:szCs w:val="22"/>
        </w:rPr>
      </w:pPr>
    </w:p>
    <w:p w:rsidR="00DF3791" w:rsidRPr="00DF3791" w:rsidRDefault="00DF3791" w:rsidP="00DF3791">
      <w:pPr>
        <w:jc w:val="both"/>
        <w:rPr>
          <w:rFonts w:ascii="Arial" w:hAnsi="Arial" w:cs="Arial"/>
          <w:sz w:val="22"/>
          <w:szCs w:val="22"/>
        </w:rPr>
      </w:pPr>
      <w:r w:rsidRPr="00DF3791">
        <w:rPr>
          <w:rFonts w:ascii="Arial" w:hAnsi="Arial" w:cs="Arial"/>
          <w:sz w:val="22"/>
          <w:szCs w:val="22"/>
        </w:rPr>
        <w:t>La Commission juridique est encore d’avis que la naturalisation sera, pour la Comtesse de Lannoy, un appui pour assumer pleinement ses nouvelles tâches dans l’intérêt national.</w:t>
      </w:r>
    </w:p>
    <w:p w:rsidR="006C0DA4" w:rsidRPr="00DF3791" w:rsidRDefault="006C0DA4" w:rsidP="006C0DA4">
      <w:pPr>
        <w:jc w:val="both"/>
        <w:rPr>
          <w:rFonts w:ascii="Arial" w:hAnsi="Arial" w:cs="Arial"/>
          <w:sz w:val="22"/>
          <w:szCs w:val="22"/>
        </w:rPr>
      </w:pPr>
    </w:p>
    <w:sectPr w:rsidR="006C0DA4" w:rsidRPr="00DF379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C51" w:rsidRDefault="00CD5C51" w:rsidP="003332DC">
      <w:r>
        <w:separator/>
      </w:r>
    </w:p>
  </w:endnote>
  <w:endnote w:type="continuationSeparator" w:id="0">
    <w:p w:rsidR="00CD5C51" w:rsidRDefault="00CD5C51"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8B1685">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C51" w:rsidRDefault="00CD5C51" w:rsidP="003332DC">
      <w:r>
        <w:separator/>
      </w:r>
    </w:p>
  </w:footnote>
  <w:footnote w:type="continuationSeparator" w:id="0">
    <w:p w:rsidR="00CD5C51" w:rsidRDefault="00CD5C51" w:rsidP="003332DC">
      <w:r>
        <w:continuationSeparator/>
      </w:r>
    </w:p>
  </w:footnote>
  <w:footnote w:id="1">
    <w:p w:rsidR="00DF3791" w:rsidRPr="00F75AC7" w:rsidRDefault="00DF3791" w:rsidP="00DF3791">
      <w:pPr>
        <w:pStyle w:val="Notedebasdepage"/>
        <w:rPr>
          <w:lang w:val="fr-LU"/>
        </w:rPr>
      </w:pPr>
      <w:r>
        <w:rPr>
          <w:rStyle w:val="Appelnotedebasdep"/>
        </w:rPr>
        <w:footnoteRef/>
      </w:r>
      <w:r>
        <w:t xml:space="preserve"> Le Conseil d’Etat, gardien de la Constitution et des Droits et Libertés fondamentaux, 2006, p. 12</w:t>
      </w:r>
    </w:p>
  </w:footnote>
  <w:footnote w:id="2">
    <w:p w:rsidR="00DF3791" w:rsidRPr="005808BE" w:rsidRDefault="00DF3791" w:rsidP="00DF3791">
      <w:pPr>
        <w:pStyle w:val="Notedebasdepage"/>
        <w:rPr>
          <w:lang w:val="fr-LU"/>
        </w:rPr>
      </w:pPr>
      <w:r>
        <w:rPr>
          <w:rStyle w:val="Appelnotedebasdep"/>
        </w:rPr>
        <w:footnoteRef/>
      </w:r>
      <w:r>
        <w:t xml:space="preserve"> </w:t>
      </w:r>
      <w:r>
        <w:rPr>
          <w:lang w:val="fr-LU"/>
        </w:rPr>
        <w:t>Idem, p. 199</w:t>
      </w:r>
    </w:p>
  </w:footnote>
  <w:footnote w:id="3">
    <w:p w:rsidR="00DF3791" w:rsidRPr="005808BE" w:rsidRDefault="00DF3791" w:rsidP="00DF3791">
      <w:pPr>
        <w:pStyle w:val="Notedebasdepage"/>
        <w:rPr>
          <w:lang w:val="fr-LU"/>
        </w:rPr>
      </w:pPr>
      <w:r>
        <w:rPr>
          <w:rStyle w:val="Appelnotedebasdep"/>
        </w:rPr>
        <w:footnoteRef/>
      </w:r>
      <w:r>
        <w:t xml:space="preserve"> </w:t>
      </w:r>
      <w:r>
        <w:rPr>
          <w:lang w:val="fr-LU"/>
        </w:rPr>
        <w:t xml:space="preserve">Procès-verbal de la réunion jointe de la Commission des Institutions et de la Révision constitutionnelle et de la Commission juridique du 26 septembre 2012, p. 5 </w:t>
      </w:r>
    </w:p>
  </w:footnote>
  <w:footnote w:id="4">
    <w:p w:rsidR="00DF3791" w:rsidRPr="007A3165" w:rsidRDefault="00DF3791" w:rsidP="00DF3791">
      <w:pPr>
        <w:pStyle w:val="Notedebasdepage"/>
      </w:pPr>
      <w:r>
        <w:rPr>
          <w:rStyle w:val="Appelnotedebasdep"/>
        </w:rPr>
        <w:footnoteRef/>
      </w:r>
      <w:r>
        <w:t xml:space="preserve"> </w:t>
      </w:r>
      <w:r>
        <w:rPr>
          <w:lang w:val="fr-LU"/>
        </w:rPr>
        <w:t>Vocabulaire juridique, Association Henri Capitant, Gérard Cornu, 2007, p. 882</w:t>
      </w:r>
    </w:p>
  </w:footnote>
  <w:footnote w:id="5">
    <w:p w:rsidR="00DF3791" w:rsidRPr="006B491B" w:rsidRDefault="00DF3791" w:rsidP="00DF3791">
      <w:pPr>
        <w:pStyle w:val="Notedebasdepage"/>
      </w:pPr>
      <w:r>
        <w:rPr>
          <w:rStyle w:val="Appelnotedebasdep"/>
        </w:rPr>
        <w:footnoteRef/>
      </w:r>
      <w:r>
        <w:t xml:space="preserve"> L’égalité devant la loi, par P. Kinsch, </w:t>
      </w:r>
      <w:r w:rsidRPr="00AA7C70">
        <w:rPr>
          <w:i/>
        </w:rPr>
        <w:t>in</w:t>
      </w:r>
      <w:r>
        <w:t xml:space="preserve"> </w:t>
      </w:r>
      <w:r>
        <w:rPr>
          <w:lang w:val="fr-LU"/>
        </w:rPr>
        <w:t>Pasicrisie luxembourgeoise, 1-2/2008, pp. 93-94; L</w:t>
      </w:r>
      <w:r>
        <w:t>e Conseil d’Etat, gardien de la Constitution et des Droits et Libertés fondamentaux, 2006, pp. 377-381</w:t>
      </w:r>
    </w:p>
  </w:footnote>
  <w:footnote w:id="6">
    <w:p w:rsidR="00DF3791" w:rsidRPr="0037439F" w:rsidRDefault="00DF3791" w:rsidP="00DF3791">
      <w:pPr>
        <w:pStyle w:val="Notedebasdepage"/>
        <w:rPr>
          <w:lang w:val="fr-LU"/>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D711D"/>
    <w:multiLevelType w:val="hybridMultilevel"/>
    <w:tmpl w:val="A58EE75C"/>
    <w:lvl w:ilvl="0" w:tplc="140C0019">
      <w:start w:val="1"/>
      <w:numFmt w:val="lowerLetter"/>
      <w:lvlText w:val="%1."/>
      <w:lvlJc w:val="left"/>
      <w:pPr>
        <w:ind w:left="1068" w:hanging="360"/>
      </w:pPr>
      <w:rPr>
        <w:rFonts w:hint="default"/>
      </w:rPr>
    </w:lvl>
    <w:lvl w:ilvl="1" w:tplc="140C0019" w:tentative="1">
      <w:start w:val="1"/>
      <w:numFmt w:val="lowerLetter"/>
      <w:lvlText w:val="%2."/>
      <w:lvlJc w:val="left"/>
      <w:pPr>
        <w:ind w:left="1788" w:hanging="360"/>
      </w:pPr>
    </w:lvl>
    <w:lvl w:ilvl="2" w:tplc="140C001B" w:tentative="1">
      <w:start w:val="1"/>
      <w:numFmt w:val="lowerRoman"/>
      <w:lvlText w:val="%3."/>
      <w:lvlJc w:val="right"/>
      <w:pPr>
        <w:ind w:left="2508" w:hanging="180"/>
      </w:pPr>
    </w:lvl>
    <w:lvl w:ilvl="3" w:tplc="140C000F" w:tentative="1">
      <w:start w:val="1"/>
      <w:numFmt w:val="decimal"/>
      <w:lvlText w:val="%4."/>
      <w:lvlJc w:val="left"/>
      <w:pPr>
        <w:ind w:left="3228" w:hanging="360"/>
      </w:pPr>
    </w:lvl>
    <w:lvl w:ilvl="4" w:tplc="140C0019" w:tentative="1">
      <w:start w:val="1"/>
      <w:numFmt w:val="lowerLetter"/>
      <w:lvlText w:val="%5."/>
      <w:lvlJc w:val="left"/>
      <w:pPr>
        <w:ind w:left="3948" w:hanging="360"/>
      </w:pPr>
    </w:lvl>
    <w:lvl w:ilvl="5" w:tplc="140C001B" w:tentative="1">
      <w:start w:val="1"/>
      <w:numFmt w:val="lowerRoman"/>
      <w:lvlText w:val="%6."/>
      <w:lvlJc w:val="right"/>
      <w:pPr>
        <w:ind w:left="4668" w:hanging="180"/>
      </w:pPr>
    </w:lvl>
    <w:lvl w:ilvl="6" w:tplc="140C000F" w:tentative="1">
      <w:start w:val="1"/>
      <w:numFmt w:val="decimal"/>
      <w:lvlText w:val="%7."/>
      <w:lvlJc w:val="left"/>
      <w:pPr>
        <w:ind w:left="5388" w:hanging="360"/>
      </w:pPr>
    </w:lvl>
    <w:lvl w:ilvl="7" w:tplc="140C0019" w:tentative="1">
      <w:start w:val="1"/>
      <w:numFmt w:val="lowerLetter"/>
      <w:lvlText w:val="%8."/>
      <w:lvlJc w:val="left"/>
      <w:pPr>
        <w:ind w:left="6108" w:hanging="360"/>
      </w:pPr>
    </w:lvl>
    <w:lvl w:ilvl="8" w:tplc="140C001B" w:tentative="1">
      <w:start w:val="1"/>
      <w:numFmt w:val="lowerRoman"/>
      <w:lvlText w:val="%9."/>
      <w:lvlJc w:val="right"/>
      <w:pPr>
        <w:ind w:left="6828" w:hanging="180"/>
      </w:pPr>
    </w:lvl>
  </w:abstractNum>
  <w:abstractNum w:abstractNumId="1" w15:restartNumberingAfterBreak="0">
    <w:nsid w:val="654858D3"/>
    <w:multiLevelType w:val="hybridMultilevel"/>
    <w:tmpl w:val="ECDA2D98"/>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00C15"/>
    <w:rsid w:val="00255463"/>
    <w:rsid w:val="003332DC"/>
    <w:rsid w:val="00424318"/>
    <w:rsid w:val="00592DBC"/>
    <w:rsid w:val="006B420F"/>
    <w:rsid w:val="006C0DA4"/>
    <w:rsid w:val="00896BA4"/>
    <w:rsid w:val="008B1685"/>
    <w:rsid w:val="00B12F3E"/>
    <w:rsid w:val="00CD5C51"/>
    <w:rsid w:val="00DE45A4"/>
    <w:rsid w:val="00DF3791"/>
    <w:rsid w:val="00E96A04"/>
    <w:rsid w:val="00F544DF"/>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AE89591-61E6-43B1-B4D7-B8074B5FA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basedOn w:val="Policepardfaut"/>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basedOn w:val="Policepardfaut"/>
    <w:link w:val="Pieddepage"/>
    <w:uiPriority w:val="99"/>
    <w:rsid w:val="00F544D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DP6474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6474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/sftpecos/Dossiers_parlementaires/6474/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F4FD4CC-62AA-40E2-AF39-4746CFB684C3}"/>
</file>

<file path=customXml/itemProps2.xml><?xml version="1.0" encoding="utf-8"?>
<ds:datastoreItem xmlns:ds="http://schemas.openxmlformats.org/officeDocument/2006/customXml" ds:itemID="{979C9915-24BA-469F-AEBE-68CBA1C1FE81}"/>
</file>

<file path=customXml/itemProps3.xml><?xml version="1.0" encoding="utf-8"?>
<ds:datastoreItem xmlns:ds="http://schemas.openxmlformats.org/officeDocument/2006/customXml" ds:itemID="{11E2C176-F4B4-419B-878A-7B58431B949A}"/>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4263</Characters>
  <Application>Microsoft Office Word</Application>
  <DocSecurity>4</DocSecurity>
  <Lines>35</Lines>
  <Paragraphs>10</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