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C71" w:rsidRPr="00D731B7" w:rsidRDefault="000F4C71" w:rsidP="00FA31B9">
      <w:pPr>
        <w:spacing w:after="0" w:line="240" w:lineRule="auto"/>
        <w:rPr>
          <w:rFonts w:ascii="Arial" w:hAnsi="Arial" w:cs="Arial"/>
          <w:b/>
        </w:rPr>
      </w:pPr>
      <w:bookmarkStart w:id="0" w:name="_GoBack"/>
      <w:bookmarkEnd w:id="0"/>
      <w:r w:rsidRPr="00D731B7">
        <w:rPr>
          <w:rFonts w:ascii="Arial" w:hAnsi="Arial" w:cs="Arial"/>
          <w:b/>
        </w:rPr>
        <w:t>Projet de loi</w:t>
      </w:r>
      <w:r w:rsidR="00FA31B9" w:rsidRPr="00D731B7">
        <w:rPr>
          <w:rFonts w:ascii="Arial" w:hAnsi="Arial" w:cs="Arial"/>
          <w:b/>
        </w:rPr>
        <w:t xml:space="preserve"> 6470</w:t>
      </w:r>
    </w:p>
    <w:p w:rsidR="000F4C71" w:rsidRPr="00D731B7" w:rsidRDefault="000F4C71" w:rsidP="00FA31B9">
      <w:pPr>
        <w:pStyle w:val="Paragraphedeliste"/>
        <w:numPr>
          <w:ilvl w:val="0"/>
          <w:numId w:val="9"/>
        </w:numPr>
        <w:tabs>
          <w:tab w:val="left" w:pos="851"/>
        </w:tabs>
        <w:ind w:right="567"/>
        <w:rPr>
          <w:rFonts w:ascii="Arial" w:hAnsi="Arial" w:cs="Arial"/>
          <w:b/>
          <w:sz w:val="22"/>
          <w:szCs w:val="22"/>
        </w:rPr>
      </w:pPr>
      <w:r w:rsidRPr="00D731B7">
        <w:rPr>
          <w:rFonts w:ascii="Arial" w:hAnsi="Arial" w:cs="Arial"/>
          <w:b/>
          <w:sz w:val="22"/>
          <w:szCs w:val="22"/>
        </w:rPr>
        <w:t>portant transposition</w:t>
      </w:r>
    </w:p>
    <w:p w:rsidR="000F4C71" w:rsidRPr="00D731B7" w:rsidRDefault="000F4C71" w:rsidP="00FA31B9">
      <w:pPr>
        <w:tabs>
          <w:tab w:val="left" w:pos="1276"/>
        </w:tabs>
        <w:spacing w:after="0" w:line="240" w:lineRule="auto"/>
        <w:ind w:left="1276" w:right="567" w:hanging="283"/>
        <w:jc w:val="both"/>
        <w:rPr>
          <w:rFonts w:ascii="Arial" w:hAnsi="Arial" w:cs="Arial"/>
          <w:b/>
        </w:rPr>
      </w:pPr>
      <w:r w:rsidRPr="00D731B7">
        <w:rPr>
          <w:rFonts w:ascii="Arial" w:hAnsi="Arial" w:cs="Arial"/>
          <w:b/>
        </w:rPr>
        <w:t>– de l’article 4 de la directive 2008/8/CE du Conseil du 12 février 2008 modifiant la directive 2006/112/CE en ce qui concerne le lieu des prestations de service;</w:t>
      </w:r>
    </w:p>
    <w:p w:rsidR="000F4C71" w:rsidRPr="00D731B7" w:rsidRDefault="000F4C71" w:rsidP="00FA31B9">
      <w:pPr>
        <w:tabs>
          <w:tab w:val="left" w:pos="1276"/>
        </w:tabs>
        <w:spacing w:after="0" w:line="240" w:lineRule="auto"/>
        <w:ind w:left="1276" w:right="567" w:hanging="283"/>
        <w:jc w:val="both"/>
        <w:rPr>
          <w:rFonts w:ascii="Arial" w:hAnsi="Arial" w:cs="Arial"/>
          <w:b/>
        </w:rPr>
      </w:pPr>
      <w:r w:rsidRPr="00D731B7">
        <w:rPr>
          <w:rFonts w:ascii="Arial" w:hAnsi="Arial" w:cs="Arial"/>
          <w:b/>
        </w:rPr>
        <w:t>– de la directive 2010/45/UE du Conseil du 13 juillet 2010 modifiant la directive 2006/112/CE relative au système commun de taxe sur la valeur ajoutée en ce qui concerne les règles de facturation;</w:t>
      </w:r>
    </w:p>
    <w:p w:rsidR="00A2760A" w:rsidRPr="00D731B7" w:rsidRDefault="000F4C71" w:rsidP="00FA31B9">
      <w:pPr>
        <w:numPr>
          <w:ilvl w:val="0"/>
          <w:numId w:val="5"/>
        </w:numPr>
        <w:tabs>
          <w:tab w:val="left" w:pos="851"/>
        </w:tabs>
        <w:spacing w:after="0" w:line="240" w:lineRule="auto"/>
        <w:ind w:left="851" w:right="567"/>
        <w:jc w:val="both"/>
        <w:rPr>
          <w:rFonts w:ascii="Arial" w:hAnsi="Arial" w:cs="Arial"/>
          <w:b/>
        </w:rPr>
      </w:pPr>
      <w:r w:rsidRPr="00D731B7">
        <w:rPr>
          <w:rFonts w:ascii="Arial" w:hAnsi="Arial" w:cs="Arial"/>
          <w:b/>
        </w:rPr>
        <w:t>modifiant la loi modifiée du 12 février 1979 concernant la taxe sur la valeur ajoutée</w:t>
      </w:r>
    </w:p>
    <w:p w:rsidR="00FA31B9" w:rsidRPr="00D731B7" w:rsidRDefault="00FA31B9" w:rsidP="00FA31B9">
      <w:pPr>
        <w:spacing w:after="0" w:line="240" w:lineRule="auto"/>
        <w:jc w:val="both"/>
        <w:rPr>
          <w:rFonts w:ascii="Arial" w:hAnsi="Arial" w:cs="Arial"/>
        </w:rPr>
      </w:pPr>
    </w:p>
    <w:p w:rsidR="00A2760A" w:rsidRPr="00D731B7" w:rsidRDefault="00580F92" w:rsidP="00FA31B9">
      <w:pPr>
        <w:spacing w:after="0" w:line="240" w:lineRule="auto"/>
        <w:jc w:val="both"/>
        <w:rPr>
          <w:rFonts w:ascii="Arial" w:hAnsi="Arial" w:cs="Arial"/>
        </w:rPr>
      </w:pPr>
      <w:r w:rsidRPr="00D731B7">
        <w:rPr>
          <w:rFonts w:ascii="Arial" w:hAnsi="Arial" w:cs="Arial"/>
        </w:rPr>
        <w:t xml:space="preserve">Le présent projet a pour objet de transposer deux directives </w:t>
      </w:r>
      <w:r w:rsidR="0052551F" w:rsidRPr="00D731B7">
        <w:rPr>
          <w:rFonts w:ascii="Arial" w:hAnsi="Arial" w:cs="Arial"/>
        </w:rPr>
        <w:t>européennes en droit national, à</w:t>
      </w:r>
      <w:r w:rsidRPr="00D731B7">
        <w:rPr>
          <w:rFonts w:ascii="Arial" w:hAnsi="Arial" w:cs="Arial"/>
        </w:rPr>
        <w:t xml:space="preserve"> savoir :</w:t>
      </w:r>
    </w:p>
    <w:p w:rsidR="00580F92" w:rsidRPr="00D731B7" w:rsidRDefault="008C4B2A" w:rsidP="00FA31B9">
      <w:pPr>
        <w:numPr>
          <w:ilvl w:val="0"/>
          <w:numId w:val="1"/>
        </w:numPr>
        <w:spacing w:after="0" w:line="240" w:lineRule="auto"/>
        <w:ind w:left="284" w:hanging="284"/>
        <w:jc w:val="both"/>
        <w:rPr>
          <w:rFonts w:ascii="Arial" w:hAnsi="Arial" w:cs="Arial"/>
        </w:rPr>
      </w:pPr>
      <w:r w:rsidRPr="00D731B7">
        <w:rPr>
          <w:rFonts w:ascii="Arial" w:hAnsi="Arial" w:cs="Arial"/>
        </w:rPr>
        <w:t>l</w:t>
      </w:r>
      <w:r w:rsidR="00580F92" w:rsidRPr="00D731B7">
        <w:rPr>
          <w:rFonts w:ascii="Arial" w:hAnsi="Arial" w:cs="Arial"/>
        </w:rPr>
        <w:t>’article 4 de la directive 2008/8/CE concer</w:t>
      </w:r>
      <w:r w:rsidR="0044054D" w:rsidRPr="00D731B7">
        <w:rPr>
          <w:rFonts w:ascii="Arial" w:hAnsi="Arial" w:cs="Arial"/>
        </w:rPr>
        <w:t>nant le lieu des prestations de</w:t>
      </w:r>
      <w:r w:rsidR="00580F92" w:rsidRPr="00D731B7">
        <w:rPr>
          <w:rFonts w:ascii="Arial" w:hAnsi="Arial" w:cs="Arial"/>
        </w:rPr>
        <w:t xml:space="preserve"> services ;</w:t>
      </w:r>
    </w:p>
    <w:p w:rsidR="00580F92" w:rsidRPr="00D731B7" w:rsidRDefault="008C4B2A" w:rsidP="00FA31B9">
      <w:pPr>
        <w:numPr>
          <w:ilvl w:val="0"/>
          <w:numId w:val="1"/>
        </w:numPr>
        <w:spacing w:after="0" w:line="240" w:lineRule="auto"/>
        <w:ind w:left="284" w:hanging="284"/>
        <w:jc w:val="both"/>
        <w:rPr>
          <w:rFonts w:ascii="Arial" w:hAnsi="Arial" w:cs="Arial"/>
        </w:rPr>
      </w:pPr>
      <w:r w:rsidRPr="00D731B7">
        <w:rPr>
          <w:rFonts w:ascii="Arial" w:hAnsi="Arial" w:cs="Arial"/>
        </w:rPr>
        <w:t>l</w:t>
      </w:r>
      <w:r w:rsidR="00580F92" w:rsidRPr="00D731B7">
        <w:rPr>
          <w:rFonts w:ascii="Arial" w:hAnsi="Arial" w:cs="Arial"/>
        </w:rPr>
        <w:t>a directive 2010/45/CE concernant les règles de facturation.</w:t>
      </w:r>
    </w:p>
    <w:p w:rsidR="00FA31B9" w:rsidRPr="00D731B7" w:rsidRDefault="00FA31B9" w:rsidP="00FA31B9">
      <w:pPr>
        <w:spacing w:after="0" w:line="240" w:lineRule="auto"/>
        <w:jc w:val="both"/>
        <w:rPr>
          <w:rFonts w:ascii="Arial" w:hAnsi="Arial" w:cs="Arial"/>
        </w:rPr>
      </w:pPr>
    </w:p>
    <w:p w:rsidR="00CC3E5B" w:rsidRPr="00D731B7" w:rsidRDefault="004411F0" w:rsidP="00FA31B9">
      <w:pPr>
        <w:spacing w:after="0" w:line="240" w:lineRule="auto"/>
        <w:jc w:val="both"/>
        <w:rPr>
          <w:rFonts w:ascii="Arial" w:hAnsi="Arial" w:cs="Arial"/>
        </w:rPr>
      </w:pPr>
      <w:r w:rsidRPr="00D731B7">
        <w:rPr>
          <w:rFonts w:ascii="Arial" w:hAnsi="Arial" w:cs="Arial"/>
        </w:rPr>
        <w:t>Dans la foulée des transpositions, les auteurs du projet ont es</w:t>
      </w:r>
      <w:r w:rsidR="00C67B62" w:rsidRPr="00D731B7">
        <w:rPr>
          <w:rFonts w:ascii="Arial" w:hAnsi="Arial" w:cs="Arial"/>
        </w:rPr>
        <w:t>s</w:t>
      </w:r>
      <w:r w:rsidRPr="00D731B7">
        <w:rPr>
          <w:rFonts w:ascii="Arial" w:hAnsi="Arial" w:cs="Arial"/>
        </w:rPr>
        <w:t>ayé de</w:t>
      </w:r>
      <w:r w:rsidR="004022E4" w:rsidRPr="00D731B7">
        <w:rPr>
          <w:rFonts w:ascii="Arial" w:hAnsi="Arial" w:cs="Arial"/>
        </w:rPr>
        <w:t xml:space="preserve"> mieux aligner certains articles modifiés de la loi su</w:t>
      </w:r>
      <w:r w:rsidR="008C4B2A" w:rsidRPr="00D731B7">
        <w:rPr>
          <w:rFonts w:ascii="Arial" w:hAnsi="Arial" w:cs="Arial"/>
        </w:rPr>
        <w:t>r</w:t>
      </w:r>
      <w:r w:rsidR="004022E4" w:rsidRPr="00D731B7">
        <w:rPr>
          <w:rFonts w:ascii="Arial" w:hAnsi="Arial" w:cs="Arial"/>
        </w:rPr>
        <w:t xml:space="preserve"> la TVA sur la structure et les dispositions correspondantes de la directive relative au système commun</w:t>
      </w:r>
      <w:r w:rsidR="000F4447" w:rsidRPr="00D731B7">
        <w:rPr>
          <w:rFonts w:ascii="Arial" w:hAnsi="Arial" w:cs="Arial"/>
        </w:rPr>
        <w:t xml:space="preserve"> de</w:t>
      </w:r>
      <w:r w:rsidR="00C32843" w:rsidRPr="00D731B7">
        <w:rPr>
          <w:rFonts w:ascii="Arial" w:hAnsi="Arial" w:cs="Arial"/>
        </w:rPr>
        <w:t xml:space="preserve"> la TVA, directive 2006/112/CE. </w:t>
      </w:r>
      <w:r w:rsidR="00CC3E5B" w:rsidRPr="00D731B7">
        <w:rPr>
          <w:rFonts w:ascii="Arial" w:hAnsi="Arial" w:cs="Arial"/>
        </w:rPr>
        <w:t>En effet, l</w:t>
      </w:r>
      <w:r w:rsidR="00C32843" w:rsidRPr="00D731B7">
        <w:rPr>
          <w:rFonts w:ascii="Arial" w:hAnsi="Arial" w:cs="Arial"/>
        </w:rPr>
        <w:t xml:space="preserve">es règles luxembourgeoises qui régissent en matière de TVA la facturation sont désormais subordonnées à des règles spécifiques déterminant la compétence des Etats membres. </w:t>
      </w:r>
      <w:r w:rsidR="00CC3E5B" w:rsidRPr="00D731B7">
        <w:rPr>
          <w:rFonts w:ascii="Arial" w:hAnsi="Arial" w:cs="Arial"/>
        </w:rPr>
        <w:t>C’est pourquoi, l</w:t>
      </w:r>
      <w:r w:rsidR="00C32843" w:rsidRPr="00D731B7">
        <w:rPr>
          <w:rFonts w:ascii="Arial" w:hAnsi="Arial" w:cs="Arial"/>
        </w:rPr>
        <w:t>es auteurs du projet ont regroup</w:t>
      </w:r>
      <w:r w:rsidR="00FA31B9" w:rsidRPr="00D731B7">
        <w:rPr>
          <w:rFonts w:ascii="Arial" w:hAnsi="Arial" w:cs="Arial"/>
        </w:rPr>
        <w:t>é</w:t>
      </w:r>
      <w:r w:rsidR="00C32843" w:rsidRPr="00D731B7">
        <w:rPr>
          <w:rFonts w:ascii="Arial" w:hAnsi="Arial" w:cs="Arial"/>
        </w:rPr>
        <w:t xml:space="preserve"> la matière de la facturation, qui jusqu’à présent était traitée à des endroits différents de la loi TVA, dans une section distincte y consacrée.</w:t>
      </w:r>
      <w:r w:rsidR="00CC3E5B" w:rsidRPr="00D731B7">
        <w:rPr>
          <w:rFonts w:ascii="Arial" w:hAnsi="Arial" w:cs="Arial"/>
        </w:rPr>
        <w:t xml:space="preserve"> </w:t>
      </w:r>
      <w:r w:rsidR="000F4447" w:rsidRPr="00D731B7">
        <w:rPr>
          <w:rFonts w:ascii="Arial" w:hAnsi="Arial" w:cs="Arial"/>
        </w:rPr>
        <w:t>Cette manière de procéder présente l’avantage</w:t>
      </w:r>
      <w:r w:rsidR="00A86C38" w:rsidRPr="00D731B7">
        <w:rPr>
          <w:rFonts w:ascii="Arial" w:hAnsi="Arial" w:cs="Arial"/>
        </w:rPr>
        <w:t>,</w:t>
      </w:r>
      <w:r w:rsidR="000F4447" w:rsidRPr="00D731B7">
        <w:rPr>
          <w:rFonts w:ascii="Arial" w:hAnsi="Arial" w:cs="Arial"/>
        </w:rPr>
        <w:t xml:space="preserve"> </w:t>
      </w:r>
      <w:r w:rsidR="005347E4" w:rsidRPr="00D731B7">
        <w:rPr>
          <w:rFonts w:ascii="Arial" w:hAnsi="Arial" w:cs="Arial"/>
        </w:rPr>
        <w:t>d’une part</w:t>
      </w:r>
      <w:r w:rsidR="00A86C38" w:rsidRPr="00D731B7">
        <w:rPr>
          <w:rFonts w:ascii="Arial" w:hAnsi="Arial" w:cs="Arial"/>
        </w:rPr>
        <w:t>,</w:t>
      </w:r>
      <w:r w:rsidR="005347E4" w:rsidRPr="00D731B7">
        <w:rPr>
          <w:rFonts w:ascii="Arial" w:hAnsi="Arial" w:cs="Arial"/>
        </w:rPr>
        <w:t xml:space="preserve"> </w:t>
      </w:r>
      <w:r w:rsidR="000F4447" w:rsidRPr="00D731B7">
        <w:rPr>
          <w:rFonts w:ascii="Arial" w:hAnsi="Arial" w:cs="Arial"/>
        </w:rPr>
        <w:t>de rendre plus transparente la comparaison</w:t>
      </w:r>
      <w:r w:rsidR="005347E4" w:rsidRPr="00D731B7">
        <w:rPr>
          <w:rFonts w:ascii="Arial" w:hAnsi="Arial" w:cs="Arial"/>
        </w:rPr>
        <w:t xml:space="preserve"> entre les textes communautaires et les textes nationaux, et d’autre part</w:t>
      </w:r>
      <w:r w:rsidR="00A86C38" w:rsidRPr="00D731B7">
        <w:rPr>
          <w:rFonts w:ascii="Arial" w:hAnsi="Arial" w:cs="Arial"/>
        </w:rPr>
        <w:t>,</w:t>
      </w:r>
      <w:r w:rsidR="005347E4" w:rsidRPr="00D731B7">
        <w:rPr>
          <w:rFonts w:ascii="Arial" w:hAnsi="Arial" w:cs="Arial"/>
        </w:rPr>
        <w:t xml:space="preserve"> de faciliter à l’avenir la transposition des textes communautaires futurs</w:t>
      </w:r>
      <w:r w:rsidR="00CC3E5B" w:rsidRPr="00D731B7">
        <w:rPr>
          <w:rFonts w:ascii="Arial" w:hAnsi="Arial" w:cs="Arial"/>
        </w:rPr>
        <w:t xml:space="preserve">. </w:t>
      </w:r>
    </w:p>
    <w:p w:rsidR="00FA31B9" w:rsidRPr="00D731B7" w:rsidRDefault="00FA31B9" w:rsidP="00FA31B9">
      <w:pPr>
        <w:spacing w:after="0" w:line="240" w:lineRule="auto"/>
        <w:jc w:val="both"/>
        <w:rPr>
          <w:rFonts w:ascii="Arial" w:hAnsi="Arial" w:cs="Arial"/>
        </w:rPr>
      </w:pPr>
    </w:p>
    <w:p w:rsidR="005347E4" w:rsidRPr="00D731B7" w:rsidRDefault="006F6FE5" w:rsidP="00FA31B9">
      <w:pPr>
        <w:spacing w:after="0" w:line="240" w:lineRule="auto"/>
        <w:jc w:val="both"/>
        <w:rPr>
          <w:rFonts w:ascii="Arial" w:hAnsi="Arial" w:cs="Arial"/>
        </w:rPr>
      </w:pPr>
      <w:r w:rsidRPr="00D731B7">
        <w:rPr>
          <w:rFonts w:ascii="Arial" w:hAnsi="Arial" w:cs="Arial"/>
        </w:rPr>
        <w:t>Le projet de loi comprend quatre</w:t>
      </w:r>
      <w:r w:rsidR="005347E4" w:rsidRPr="00D731B7">
        <w:rPr>
          <w:rFonts w:ascii="Arial" w:hAnsi="Arial" w:cs="Arial"/>
        </w:rPr>
        <w:t xml:space="preserve"> articles :</w:t>
      </w:r>
    </w:p>
    <w:p w:rsidR="00FA31B9" w:rsidRPr="00D731B7" w:rsidRDefault="00FA31B9" w:rsidP="00FA31B9">
      <w:pPr>
        <w:spacing w:after="0" w:line="240" w:lineRule="auto"/>
        <w:jc w:val="both"/>
        <w:rPr>
          <w:rFonts w:ascii="Arial" w:hAnsi="Arial" w:cs="Arial"/>
        </w:rPr>
      </w:pPr>
    </w:p>
    <w:p w:rsidR="001C6649" w:rsidRPr="00D731B7" w:rsidRDefault="005347E4" w:rsidP="00FA31B9">
      <w:pPr>
        <w:numPr>
          <w:ilvl w:val="0"/>
          <w:numId w:val="3"/>
        </w:numPr>
        <w:spacing w:after="0" w:line="240" w:lineRule="auto"/>
        <w:ind w:left="426"/>
        <w:jc w:val="both"/>
        <w:rPr>
          <w:rFonts w:ascii="Arial" w:hAnsi="Arial" w:cs="Arial"/>
        </w:rPr>
      </w:pPr>
      <w:r w:rsidRPr="00D731B7">
        <w:rPr>
          <w:rFonts w:ascii="Arial" w:hAnsi="Arial" w:cs="Arial"/>
        </w:rPr>
        <w:t>L’article I qui transpose dans la législation nationale l’article 4 de la directive 2008/8/CE</w:t>
      </w:r>
      <w:r w:rsidR="004547AB" w:rsidRPr="00D731B7">
        <w:rPr>
          <w:rFonts w:ascii="Arial" w:hAnsi="Arial" w:cs="Arial"/>
        </w:rPr>
        <w:t xml:space="preserve"> régissant le lieu des prestations de location de longue durée de moyens de transport effectuées à des personnes non assujetties. </w:t>
      </w:r>
    </w:p>
    <w:p w:rsidR="00FA31B9" w:rsidRPr="00D731B7" w:rsidRDefault="00FA31B9" w:rsidP="00FA31B9">
      <w:pPr>
        <w:spacing w:after="0" w:line="240" w:lineRule="auto"/>
        <w:ind w:left="426"/>
        <w:jc w:val="both"/>
        <w:rPr>
          <w:rFonts w:ascii="Arial" w:hAnsi="Arial" w:cs="Arial"/>
        </w:rPr>
      </w:pPr>
    </w:p>
    <w:p w:rsidR="00CF6CCA" w:rsidRPr="00D731B7" w:rsidRDefault="00FA31B9" w:rsidP="00FA31B9">
      <w:pPr>
        <w:spacing w:after="0" w:line="240" w:lineRule="auto"/>
        <w:ind w:left="426"/>
        <w:jc w:val="both"/>
        <w:rPr>
          <w:rFonts w:ascii="Arial" w:hAnsi="Arial" w:cs="Arial"/>
        </w:rPr>
      </w:pPr>
      <w:r w:rsidRPr="00D731B7">
        <w:rPr>
          <w:rFonts w:ascii="Arial" w:hAnsi="Arial" w:cs="Arial"/>
        </w:rPr>
        <w:t>L</w:t>
      </w:r>
      <w:r w:rsidR="005B772B" w:rsidRPr="00D731B7">
        <w:rPr>
          <w:rFonts w:ascii="Arial" w:hAnsi="Arial" w:cs="Arial"/>
        </w:rPr>
        <w:t>es modifications portent uniquement sur les prestations fournies à des personnes non assujetties (B2C) et ne concernent que les locations de longue durée.</w:t>
      </w:r>
    </w:p>
    <w:p w:rsidR="00FA31B9" w:rsidRPr="00D731B7" w:rsidRDefault="00FA31B9" w:rsidP="00FA31B9">
      <w:pPr>
        <w:spacing w:after="0" w:line="240" w:lineRule="auto"/>
        <w:ind w:left="426"/>
        <w:jc w:val="both"/>
        <w:rPr>
          <w:rFonts w:ascii="Arial" w:hAnsi="Arial" w:cs="Arial"/>
        </w:rPr>
      </w:pPr>
    </w:p>
    <w:p w:rsidR="00CF6CCA" w:rsidRPr="00D731B7" w:rsidRDefault="00C076CE" w:rsidP="00FA31B9">
      <w:pPr>
        <w:numPr>
          <w:ilvl w:val="0"/>
          <w:numId w:val="3"/>
        </w:numPr>
        <w:spacing w:after="0" w:line="240" w:lineRule="auto"/>
        <w:ind w:left="426"/>
        <w:jc w:val="both"/>
        <w:rPr>
          <w:rFonts w:ascii="Arial" w:hAnsi="Arial" w:cs="Arial"/>
        </w:rPr>
      </w:pPr>
      <w:r w:rsidRPr="00D731B7">
        <w:rPr>
          <w:rFonts w:ascii="Arial" w:hAnsi="Arial" w:cs="Arial"/>
        </w:rPr>
        <w:t xml:space="preserve">L’article II concerne </w:t>
      </w:r>
      <w:r w:rsidR="00A86C38" w:rsidRPr="00D731B7">
        <w:rPr>
          <w:rFonts w:ascii="Arial" w:hAnsi="Arial" w:cs="Arial"/>
        </w:rPr>
        <w:t xml:space="preserve">la </w:t>
      </w:r>
      <w:r w:rsidRPr="00D731B7">
        <w:rPr>
          <w:rFonts w:ascii="Arial" w:hAnsi="Arial" w:cs="Arial"/>
        </w:rPr>
        <w:t xml:space="preserve">transposition de la directive 2010/45/UE relative aux règles de facturation. Cette directive vise à clarifier les règles </w:t>
      </w:r>
      <w:r w:rsidR="00467A06" w:rsidRPr="00D731B7">
        <w:rPr>
          <w:rFonts w:ascii="Arial" w:hAnsi="Arial" w:cs="Arial"/>
        </w:rPr>
        <w:t xml:space="preserve">relatives à l’exigibilité de la TVA sur les </w:t>
      </w:r>
      <w:r w:rsidR="00467A06" w:rsidRPr="00D731B7">
        <w:rPr>
          <w:rFonts w:ascii="Arial" w:hAnsi="Arial" w:cs="Arial"/>
          <w:b/>
        </w:rPr>
        <w:t>livraisons et acquisitions intracommunautaires</w:t>
      </w:r>
      <w:r w:rsidR="00467A06" w:rsidRPr="00D731B7">
        <w:rPr>
          <w:rFonts w:ascii="Arial" w:hAnsi="Arial" w:cs="Arial"/>
        </w:rPr>
        <w:t xml:space="preserve"> de biens et services. </w:t>
      </w:r>
      <w:r w:rsidR="004E0975" w:rsidRPr="00D731B7">
        <w:rPr>
          <w:rFonts w:ascii="Arial" w:hAnsi="Arial" w:cs="Arial"/>
        </w:rPr>
        <w:t xml:space="preserve">En même temps </w:t>
      </w:r>
      <w:r w:rsidR="00A86C38" w:rsidRPr="00D731B7">
        <w:rPr>
          <w:rFonts w:ascii="Arial" w:hAnsi="Arial" w:cs="Arial"/>
        </w:rPr>
        <w:t xml:space="preserve">elle </w:t>
      </w:r>
      <w:r w:rsidR="004E0975" w:rsidRPr="00D731B7">
        <w:rPr>
          <w:rFonts w:ascii="Arial" w:hAnsi="Arial" w:cs="Arial"/>
        </w:rPr>
        <w:t>entend</w:t>
      </w:r>
      <w:r w:rsidR="002C061C" w:rsidRPr="00D731B7">
        <w:rPr>
          <w:rFonts w:ascii="Arial" w:hAnsi="Arial" w:cs="Arial"/>
        </w:rPr>
        <w:t xml:space="preserve"> rendre plus attrayante pour les Etats membres la faculté d’offrir aux petites et moyennes entreprises un système de comptabilité de caisse en introduisant des règles en matière de déduction qui devraient réduire toute incidence négative sur le flux de trésorerie lié aux recettes de la TVA.</w:t>
      </w:r>
      <w:r w:rsidR="00A158A5" w:rsidRPr="00D731B7">
        <w:rPr>
          <w:rFonts w:ascii="Arial" w:hAnsi="Arial" w:cs="Arial"/>
        </w:rPr>
        <w:t xml:space="preserve"> Ainsi, les assujettis prenant part à un régime facultatif de comptabilité caisse (entreprises dont le chiffre d’affaires annuel ne dépasse pas 500.000</w:t>
      </w:r>
      <w:r w:rsidR="00A86C38" w:rsidRPr="00D731B7">
        <w:rPr>
          <w:rFonts w:ascii="Arial" w:hAnsi="Arial" w:cs="Arial"/>
        </w:rPr>
        <w:t xml:space="preserve"> euros</w:t>
      </w:r>
      <w:r w:rsidR="00A158A5" w:rsidRPr="00D731B7">
        <w:rPr>
          <w:rFonts w:ascii="Arial" w:hAnsi="Arial" w:cs="Arial"/>
        </w:rPr>
        <w:t>, seuil pouvant être relevé à deux millions d’euros après consultation du Comité de la TVA)</w:t>
      </w:r>
      <w:r w:rsidR="00F419C4" w:rsidRPr="00D731B7">
        <w:rPr>
          <w:rFonts w:ascii="Arial" w:hAnsi="Arial" w:cs="Arial"/>
        </w:rPr>
        <w:t xml:space="preserve"> ont le droit de reporter le pa</w:t>
      </w:r>
      <w:r w:rsidR="00A86C38" w:rsidRPr="00D731B7">
        <w:rPr>
          <w:rFonts w:ascii="Arial" w:hAnsi="Arial" w:cs="Arial"/>
        </w:rPr>
        <w:t>i</w:t>
      </w:r>
      <w:r w:rsidR="00F419C4" w:rsidRPr="00D731B7">
        <w:rPr>
          <w:rFonts w:ascii="Arial" w:hAnsi="Arial" w:cs="Arial"/>
        </w:rPr>
        <w:t>ement de la TVA d</w:t>
      </w:r>
      <w:r w:rsidR="002B701A" w:rsidRPr="00D731B7">
        <w:rPr>
          <w:rFonts w:ascii="Arial" w:hAnsi="Arial" w:cs="Arial"/>
        </w:rPr>
        <w:t>ue</w:t>
      </w:r>
      <w:r w:rsidR="00F419C4" w:rsidRPr="00D731B7">
        <w:rPr>
          <w:rFonts w:ascii="Arial" w:hAnsi="Arial" w:cs="Arial"/>
        </w:rPr>
        <w:t xml:space="preserve"> sur livraisons de biens ou prestations de services, jusqu’à la date du pa</w:t>
      </w:r>
      <w:r w:rsidR="00A86C38" w:rsidRPr="00D731B7">
        <w:rPr>
          <w:rFonts w:ascii="Arial" w:hAnsi="Arial" w:cs="Arial"/>
        </w:rPr>
        <w:t>i</w:t>
      </w:r>
      <w:r w:rsidR="00F419C4" w:rsidRPr="00D731B7">
        <w:rPr>
          <w:rFonts w:ascii="Arial" w:hAnsi="Arial" w:cs="Arial"/>
        </w:rPr>
        <w:t xml:space="preserve">ement effectif de la facture par leur client. Le corollaire de cette faveur réside évidemment dans le fait que l’entreprise concernée ne peut faire prévaloir </w:t>
      </w:r>
      <w:r w:rsidR="00A86C38" w:rsidRPr="00D731B7">
        <w:rPr>
          <w:rFonts w:ascii="Arial" w:hAnsi="Arial" w:cs="Arial"/>
        </w:rPr>
        <w:t xml:space="preserve">de </w:t>
      </w:r>
      <w:r w:rsidR="00F419C4" w:rsidRPr="00D731B7">
        <w:rPr>
          <w:rFonts w:ascii="Arial" w:hAnsi="Arial" w:cs="Arial"/>
        </w:rPr>
        <w:t>déduction de la TVA</w:t>
      </w:r>
      <w:r w:rsidR="00A86C38" w:rsidRPr="00D731B7">
        <w:rPr>
          <w:rFonts w:ascii="Arial" w:hAnsi="Arial" w:cs="Arial"/>
        </w:rPr>
        <w:t xml:space="preserve"> en amont jusqu’à la date du pai</w:t>
      </w:r>
      <w:r w:rsidR="00F419C4" w:rsidRPr="00D731B7">
        <w:rPr>
          <w:rFonts w:ascii="Arial" w:hAnsi="Arial" w:cs="Arial"/>
        </w:rPr>
        <w:t>ement effectif de la facture à son fournisseur.</w:t>
      </w:r>
      <w:r w:rsidR="00A158A5" w:rsidRPr="00D731B7">
        <w:rPr>
          <w:rFonts w:ascii="Arial" w:hAnsi="Arial" w:cs="Arial"/>
        </w:rPr>
        <w:t xml:space="preserve"> </w:t>
      </w:r>
    </w:p>
    <w:p w:rsidR="00FA31B9" w:rsidRPr="00D731B7" w:rsidRDefault="00FA31B9" w:rsidP="00FA31B9">
      <w:pPr>
        <w:tabs>
          <w:tab w:val="left" w:pos="426"/>
        </w:tabs>
        <w:spacing w:after="0" w:line="240" w:lineRule="auto"/>
        <w:ind w:left="426"/>
        <w:jc w:val="both"/>
        <w:rPr>
          <w:rFonts w:ascii="Arial" w:hAnsi="Arial" w:cs="Arial"/>
        </w:rPr>
      </w:pPr>
    </w:p>
    <w:p w:rsidR="00CF6CCA" w:rsidRPr="00D731B7" w:rsidRDefault="002C061C" w:rsidP="00FA31B9">
      <w:pPr>
        <w:tabs>
          <w:tab w:val="left" w:pos="426"/>
        </w:tabs>
        <w:spacing w:after="0" w:line="240" w:lineRule="auto"/>
        <w:ind w:left="426"/>
        <w:jc w:val="both"/>
        <w:rPr>
          <w:rFonts w:ascii="Arial" w:hAnsi="Arial" w:cs="Arial"/>
        </w:rPr>
      </w:pPr>
      <w:r w:rsidRPr="00D731B7">
        <w:rPr>
          <w:rFonts w:ascii="Arial" w:hAnsi="Arial" w:cs="Arial"/>
        </w:rPr>
        <w:t>La directive à transposer vise</w:t>
      </w:r>
      <w:r w:rsidR="00497083" w:rsidRPr="00D731B7">
        <w:rPr>
          <w:rFonts w:ascii="Arial" w:hAnsi="Arial" w:cs="Arial"/>
        </w:rPr>
        <w:t xml:space="preserve"> principalement</w:t>
      </w:r>
      <w:r w:rsidR="00A86C38" w:rsidRPr="00D731B7">
        <w:rPr>
          <w:rFonts w:ascii="Arial" w:hAnsi="Arial" w:cs="Arial"/>
        </w:rPr>
        <w:t> :</w:t>
      </w:r>
      <w:r w:rsidRPr="00D731B7">
        <w:rPr>
          <w:rFonts w:ascii="Arial" w:hAnsi="Arial" w:cs="Arial"/>
        </w:rPr>
        <w:t xml:space="preserve"> </w:t>
      </w:r>
    </w:p>
    <w:p w:rsidR="00CF6CCA" w:rsidRPr="00D731B7" w:rsidRDefault="009226AA" w:rsidP="00FA31B9">
      <w:pPr>
        <w:numPr>
          <w:ilvl w:val="0"/>
          <w:numId w:val="1"/>
        </w:numPr>
        <w:tabs>
          <w:tab w:val="left" w:pos="426"/>
        </w:tabs>
        <w:spacing w:after="0" w:line="240" w:lineRule="auto"/>
        <w:ind w:hanging="294"/>
        <w:jc w:val="both"/>
        <w:rPr>
          <w:rFonts w:ascii="Arial" w:hAnsi="Arial" w:cs="Arial"/>
        </w:rPr>
      </w:pPr>
      <w:r w:rsidRPr="00D731B7">
        <w:rPr>
          <w:rFonts w:ascii="Arial" w:hAnsi="Arial" w:cs="Arial"/>
        </w:rPr>
        <w:t>à</w:t>
      </w:r>
      <w:r w:rsidR="002C061C" w:rsidRPr="00D731B7">
        <w:rPr>
          <w:rFonts w:ascii="Arial" w:hAnsi="Arial" w:cs="Arial"/>
        </w:rPr>
        <w:t xml:space="preserve"> simplifier </w:t>
      </w:r>
      <w:r w:rsidRPr="00D731B7">
        <w:rPr>
          <w:rFonts w:ascii="Arial" w:hAnsi="Arial" w:cs="Arial"/>
        </w:rPr>
        <w:t>et à harmoniser davantage les informations devant figurer sur les factures ;</w:t>
      </w:r>
      <w:r w:rsidR="005347E4" w:rsidRPr="00D731B7">
        <w:rPr>
          <w:rFonts w:ascii="Arial" w:hAnsi="Arial" w:cs="Arial"/>
        </w:rPr>
        <w:t xml:space="preserve"> </w:t>
      </w:r>
    </w:p>
    <w:p w:rsidR="00CF6CCA" w:rsidRPr="00D731B7" w:rsidRDefault="009226AA" w:rsidP="00FA31B9">
      <w:pPr>
        <w:numPr>
          <w:ilvl w:val="0"/>
          <w:numId w:val="1"/>
        </w:numPr>
        <w:tabs>
          <w:tab w:val="left" w:pos="426"/>
        </w:tabs>
        <w:spacing w:after="0" w:line="240" w:lineRule="auto"/>
        <w:ind w:hanging="294"/>
        <w:jc w:val="both"/>
        <w:rPr>
          <w:rFonts w:ascii="Arial" w:hAnsi="Arial" w:cs="Arial"/>
        </w:rPr>
      </w:pPr>
      <w:r w:rsidRPr="00D731B7">
        <w:rPr>
          <w:rFonts w:ascii="Arial" w:hAnsi="Arial" w:cs="Arial"/>
        </w:rPr>
        <w:lastRenderedPageBreak/>
        <w:t>à désigner clairement l’Etat membre dont les règles de facturation s’appliquent ;</w:t>
      </w:r>
    </w:p>
    <w:p w:rsidR="00CF6CCA" w:rsidRPr="00D731B7" w:rsidRDefault="009226AA" w:rsidP="00FA31B9">
      <w:pPr>
        <w:numPr>
          <w:ilvl w:val="0"/>
          <w:numId w:val="1"/>
        </w:numPr>
        <w:tabs>
          <w:tab w:val="left" w:pos="426"/>
        </w:tabs>
        <w:spacing w:after="0" w:line="240" w:lineRule="auto"/>
        <w:ind w:hanging="294"/>
        <w:jc w:val="both"/>
        <w:rPr>
          <w:rFonts w:ascii="Arial" w:hAnsi="Arial" w:cs="Arial"/>
        </w:rPr>
      </w:pPr>
      <w:r w:rsidRPr="00D731B7">
        <w:rPr>
          <w:rFonts w:ascii="Arial" w:hAnsi="Arial" w:cs="Arial"/>
        </w:rPr>
        <w:t>à abolir les différences entre les factures papie</w:t>
      </w:r>
      <w:r w:rsidR="004E0975" w:rsidRPr="00D731B7">
        <w:rPr>
          <w:rFonts w:ascii="Arial" w:hAnsi="Arial" w:cs="Arial"/>
        </w:rPr>
        <w:t>r et les factures électroniques ;</w:t>
      </w:r>
    </w:p>
    <w:p w:rsidR="00CF6CCA" w:rsidRPr="00D731B7" w:rsidRDefault="004E0975" w:rsidP="00FA31B9">
      <w:pPr>
        <w:numPr>
          <w:ilvl w:val="0"/>
          <w:numId w:val="1"/>
        </w:numPr>
        <w:tabs>
          <w:tab w:val="left" w:pos="426"/>
        </w:tabs>
        <w:spacing w:after="0" w:line="240" w:lineRule="auto"/>
        <w:ind w:hanging="294"/>
        <w:jc w:val="both"/>
        <w:rPr>
          <w:rFonts w:ascii="Arial" w:hAnsi="Arial" w:cs="Arial"/>
        </w:rPr>
      </w:pPr>
      <w:r w:rsidRPr="00D731B7">
        <w:rPr>
          <w:rFonts w:ascii="Arial" w:hAnsi="Arial" w:cs="Arial"/>
        </w:rPr>
        <w:t>à clarifier et à harmoniser les règles relatives à l’exigibilité de la TVA sur les livraisons et acquisitions intracommunautaires afin de permettre un échange d’informations plus rapide entre Etats membres et lutter ainsi plus efficacement contre la fraude à la TVA.</w:t>
      </w:r>
    </w:p>
    <w:p w:rsidR="00FA31B9" w:rsidRPr="00D731B7" w:rsidRDefault="00C32C99" w:rsidP="00FA31B9">
      <w:pPr>
        <w:tabs>
          <w:tab w:val="left" w:pos="426"/>
        </w:tabs>
        <w:spacing w:after="0" w:line="240" w:lineRule="auto"/>
        <w:ind w:hanging="294"/>
        <w:jc w:val="both"/>
        <w:rPr>
          <w:rFonts w:ascii="Arial" w:hAnsi="Arial" w:cs="Arial"/>
        </w:rPr>
      </w:pPr>
      <w:r w:rsidRPr="00D731B7">
        <w:rPr>
          <w:rFonts w:ascii="Arial" w:hAnsi="Arial" w:cs="Arial"/>
        </w:rPr>
        <w:t xml:space="preserve">         </w:t>
      </w:r>
    </w:p>
    <w:p w:rsidR="00CF6CCA" w:rsidRPr="00D731B7" w:rsidRDefault="00C32C99" w:rsidP="00FA31B9">
      <w:pPr>
        <w:tabs>
          <w:tab w:val="left" w:pos="426"/>
        </w:tabs>
        <w:spacing w:after="0" w:line="240" w:lineRule="auto"/>
        <w:ind w:hanging="294"/>
        <w:jc w:val="both"/>
        <w:rPr>
          <w:rFonts w:ascii="Arial" w:hAnsi="Arial" w:cs="Arial"/>
        </w:rPr>
      </w:pPr>
      <w:r w:rsidRPr="00D731B7">
        <w:rPr>
          <w:rFonts w:ascii="Arial" w:hAnsi="Arial" w:cs="Arial"/>
        </w:rPr>
        <w:t xml:space="preserve">   </w:t>
      </w:r>
      <w:r w:rsidR="00FA31B9" w:rsidRPr="00D731B7">
        <w:rPr>
          <w:rFonts w:ascii="Arial" w:hAnsi="Arial" w:cs="Arial"/>
        </w:rPr>
        <w:tab/>
      </w:r>
      <w:r w:rsidR="00FA31B9" w:rsidRPr="00D731B7">
        <w:rPr>
          <w:rFonts w:ascii="Arial" w:hAnsi="Arial" w:cs="Arial"/>
        </w:rPr>
        <w:tab/>
      </w:r>
      <w:r w:rsidR="00CC48AC" w:rsidRPr="00D731B7">
        <w:rPr>
          <w:rFonts w:ascii="Arial" w:hAnsi="Arial" w:cs="Arial"/>
        </w:rPr>
        <w:t>Elle entraîne</w:t>
      </w:r>
      <w:r w:rsidR="00E91597" w:rsidRPr="00D731B7">
        <w:rPr>
          <w:rFonts w:ascii="Arial" w:hAnsi="Arial" w:cs="Arial"/>
        </w:rPr>
        <w:t xml:space="preserve"> certaines modifications</w:t>
      </w:r>
      <w:r w:rsidR="00CC48AC" w:rsidRPr="00D731B7">
        <w:rPr>
          <w:rFonts w:ascii="Arial" w:hAnsi="Arial" w:cs="Arial"/>
        </w:rPr>
        <w:t xml:space="preserve"> à la loi TVA</w:t>
      </w:r>
      <w:r w:rsidR="00A86C38" w:rsidRPr="00D731B7">
        <w:rPr>
          <w:rFonts w:ascii="Arial" w:hAnsi="Arial" w:cs="Arial"/>
        </w:rPr>
        <w:t> :</w:t>
      </w:r>
      <w:r w:rsidR="00E91597" w:rsidRPr="00D731B7">
        <w:rPr>
          <w:rFonts w:ascii="Arial" w:hAnsi="Arial" w:cs="Arial"/>
        </w:rPr>
        <w:t xml:space="preserve"> </w:t>
      </w:r>
    </w:p>
    <w:p w:rsidR="00CF6CCA" w:rsidRPr="00D731B7" w:rsidRDefault="00E91597" w:rsidP="00FA31B9">
      <w:pPr>
        <w:numPr>
          <w:ilvl w:val="0"/>
          <w:numId w:val="1"/>
        </w:numPr>
        <w:tabs>
          <w:tab w:val="left" w:pos="426"/>
        </w:tabs>
        <w:spacing w:after="0" w:line="240" w:lineRule="auto"/>
        <w:ind w:hanging="294"/>
        <w:jc w:val="both"/>
        <w:rPr>
          <w:rFonts w:ascii="Arial" w:hAnsi="Arial" w:cs="Arial"/>
        </w:rPr>
      </w:pPr>
      <w:r w:rsidRPr="00D731B7">
        <w:rPr>
          <w:rFonts w:ascii="Arial" w:hAnsi="Arial" w:cs="Arial"/>
        </w:rPr>
        <w:t>en matière de fait générateur et d’exigibili</w:t>
      </w:r>
      <w:r w:rsidR="00181F8E" w:rsidRPr="00D731B7">
        <w:rPr>
          <w:rFonts w:ascii="Arial" w:hAnsi="Arial" w:cs="Arial"/>
        </w:rPr>
        <w:t>té de la taxe</w:t>
      </w:r>
      <w:r w:rsidR="00261DB2" w:rsidRPr="00D731B7">
        <w:rPr>
          <w:rFonts w:ascii="Arial" w:hAnsi="Arial" w:cs="Arial"/>
        </w:rPr>
        <w:t> ;</w:t>
      </w:r>
      <w:r w:rsidR="00181F8E" w:rsidRPr="00D731B7">
        <w:rPr>
          <w:rFonts w:ascii="Arial" w:hAnsi="Arial" w:cs="Arial"/>
        </w:rPr>
        <w:t xml:space="preserve"> </w:t>
      </w:r>
    </w:p>
    <w:p w:rsidR="00CF6CCA" w:rsidRPr="00D731B7" w:rsidRDefault="00181F8E" w:rsidP="00FA31B9">
      <w:pPr>
        <w:numPr>
          <w:ilvl w:val="0"/>
          <w:numId w:val="1"/>
        </w:numPr>
        <w:tabs>
          <w:tab w:val="left" w:pos="426"/>
        </w:tabs>
        <w:spacing w:after="0" w:line="240" w:lineRule="auto"/>
        <w:ind w:hanging="294"/>
        <w:jc w:val="both"/>
        <w:rPr>
          <w:rFonts w:ascii="Arial" w:hAnsi="Arial" w:cs="Arial"/>
        </w:rPr>
      </w:pPr>
      <w:r w:rsidRPr="00D731B7">
        <w:rPr>
          <w:rFonts w:ascii="Arial" w:hAnsi="Arial" w:cs="Arial"/>
        </w:rPr>
        <w:t>en matière d’obligations des assujettis et de certaines personnes non assujetties</w:t>
      </w:r>
      <w:r w:rsidR="004D2C9C" w:rsidRPr="00D731B7">
        <w:rPr>
          <w:rFonts w:ascii="Arial" w:hAnsi="Arial" w:cs="Arial"/>
        </w:rPr>
        <w:t xml:space="preserve"> ainsi que de mesures tendant à assurer le paiement de la taxe</w:t>
      </w:r>
      <w:r w:rsidR="00E873EC" w:rsidRPr="00D731B7">
        <w:rPr>
          <w:rFonts w:ascii="Arial" w:hAnsi="Arial" w:cs="Arial"/>
        </w:rPr>
        <w:t>.</w:t>
      </w:r>
    </w:p>
    <w:p w:rsidR="00FA31B9" w:rsidRPr="00D731B7" w:rsidRDefault="00FA31B9" w:rsidP="00FA31B9">
      <w:pPr>
        <w:tabs>
          <w:tab w:val="left" w:pos="426"/>
        </w:tabs>
        <w:spacing w:after="0" w:line="240" w:lineRule="auto"/>
        <w:ind w:left="426"/>
        <w:jc w:val="both"/>
        <w:rPr>
          <w:rFonts w:ascii="Arial" w:hAnsi="Arial" w:cs="Arial"/>
        </w:rPr>
      </w:pPr>
    </w:p>
    <w:p w:rsidR="00CF6CCA" w:rsidRPr="00D731B7" w:rsidRDefault="00E873EC" w:rsidP="00FA31B9">
      <w:pPr>
        <w:tabs>
          <w:tab w:val="left" w:pos="426"/>
        </w:tabs>
        <w:spacing w:after="0" w:line="240" w:lineRule="auto"/>
        <w:ind w:left="426"/>
        <w:jc w:val="both"/>
        <w:rPr>
          <w:rFonts w:ascii="Arial" w:hAnsi="Arial" w:cs="Arial"/>
        </w:rPr>
      </w:pPr>
      <w:r w:rsidRPr="00D731B7">
        <w:rPr>
          <w:rFonts w:ascii="Arial" w:hAnsi="Arial" w:cs="Arial"/>
        </w:rPr>
        <w:t>Ces modifications requière</w:t>
      </w:r>
      <w:r w:rsidR="00261DB2" w:rsidRPr="00D731B7">
        <w:rPr>
          <w:rFonts w:ascii="Arial" w:hAnsi="Arial" w:cs="Arial"/>
        </w:rPr>
        <w:t>nt</w:t>
      </w:r>
      <w:r w:rsidR="001113D9" w:rsidRPr="00D731B7">
        <w:rPr>
          <w:rFonts w:ascii="Arial" w:hAnsi="Arial" w:cs="Arial"/>
        </w:rPr>
        <w:t>, comme il a déjà été relevé ci-avant,</w:t>
      </w:r>
      <w:r w:rsidR="00261DB2" w:rsidRPr="00D731B7">
        <w:rPr>
          <w:rFonts w:ascii="Arial" w:hAnsi="Arial" w:cs="Arial"/>
        </w:rPr>
        <w:t xml:space="preserve"> une adaptation structurelle adéqua</w:t>
      </w:r>
      <w:r w:rsidR="001113D9" w:rsidRPr="00D731B7">
        <w:rPr>
          <w:rFonts w:ascii="Arial" w:hAnsi="Arial" w:cs="Arial"/>
        </w:rPr>
        <w:t xml:space="preserve">te des chapitres concernés de </w:t>
      </w:r>
      <w:r w:rsidR="00A86C38" w:rsidRPr="00D731B7">
        <w:rPr>
          <w:rFonts w:ascii="Arial" w:hAnsi="Arial" w:cs="Arial"/>
        </w:rPr>
        <w:t>la</w:t>
      </w:r>
      <w:r w:rsidR="00261DB2" w:rsidRPr="00D731B7">
        <w:rPr>
          <w:rFonts w:ascii="Arial" w:hAnsi="Arial" w:cs="Arial"/>
        </w:rPr>
        <w:t xml:space="preserve"> loi TVA (chapitre</w:t>
      </w:r>
      <w:r w:rsidR="00A86C38" w:rsidRPr="00D731B7">
        <w:rPr>
          <w:rFonts w:ascii="Arial" w:hAnsi="Arial" w:cs="Arial"/>
        </w:rPr>
        <w:t>s</w:t>
      </w:r>
      <w:r w:rsidR="00261DB2" w:rsidRPr="00D731B7">
        <w:rPr>
          <w:rFonts w:ascii="Arial" w:hAnsi="Arial" w:cs="Arial"/>
        </w:rPr>
        <w:t xml:space="preserve"> III et IX), afin de</w:t>
      </w:r>
      <w:r w:rsidR="00E91597" w:rsidRPr="00D731B7">
        <w:rPr>
          <w:rFonts w:ascii="Arial" w:hAnsi="Arial" w:cs="Arial"/>
        </w:rPr>
        <w:t xml:space="preserve"> mieux </w:t>
      </w:r>
      <w:r w:rsidR="00261DB2" w:rsidRPr="00D731B7">
        <w:rPr>
          <w:rFonts w:ascii="Arial" w:hAnsi="Arial" w:cs="Arial"/>
        </w:rPr>
        <w:t xml:space="preserve">faire </w:t>
      </w:r>
      <w:r w:rsidR="00E91597" w:rsidRPr="00D731B7">
        <w:rPr>
          <w:rFonts w:ascii="Arial" w:hAnsi="Arial" w:cs="Arial"/>
        </w:rPr>
        <w:t>corr</w:t>
      </w:r>
      <w:r w:rsidR="00261DB2" w:rsidRPr="00D731B7">
        <w:rPr>
          <w:rFonts w:ascii="Arial" w:hAnsi="Arial" w:cs="Arial"/>
        </w:rPr>
        <w:t>espondre ceux</w:t>
      </w:r>
      <w:r w:rsidR="00E91597" w:rsidRPr="00D731B7">
        <w:rPr>
          <w:rFonts w:ascii="Arial" w:hAnsi="Arial" w:cs="Arial"/>
        </w:rPr>
        <w:t>-ci avec les structures afférentes de la directive.</w:t>
      </w:r>
      <w:r w:rsidR="00AA5605" w:rsidRPr="00D731B7">
        <w:rPr>
          <w:rFonts w:ascii="Arial" w:hAnsi="Arial" w:cs="Arial"/>
        </w:rPr>
        <w:t xml:space="preserve"> Ces réaménagements représentent l’avantage de rendre plus faciles les adaptations futures des articles au vu d’actuelles et futures propositions de directives.</w:t>
      </w:r>
    </w:p>
    <w:p w:rsidR="00FA31B9" w:rsidRPr="00D731B7" w:rsidRDefault="00FA31B9" w:rsidP="00FA31B9">
      <w:pPr>
        <w:spacing w:after="0" w:line="240" w:lineRule="auto"/>
        <w:ind w:left="426"/>
        <w:jc w:val="both"/>
        <w:rPr>
          <w:rFonts w:ascii="Arial" w:hAnsi="Arial" w:cs="Arial"/>
        </w:rPr>
      </w:pPr>
    </w:p>
    <w:p w:rsidR="00CF6CCA" w:rsidRPr="00D731B7" w:rsidRDefault="000E4313" w:rsidP="00FA31B9">
      <w:pPr>
        <w:spacing w:after="0" w:line="240" w:lineRule="auto"/>
        <w:ind w:left="426"/>
        <w:jc w:val="both"/>
        <w:rPr>
          <w:rFonts w:ascii="Arial" w:hAnsi="Arial" w:cs="Arial"/>
        </w:rPr>
      </w:pPr>
      <w:r w:rsidRPr="00D731B7">
        <w:rPr>
          <w:rFonts w:ascii="Arial" w:hAnsi="Arial" w:cs="Arial"/>
        </w:rPr>
        <w:t>Finalement, la transposition de la directive 2010/4</w:t>
      </w:r>
      <w:r w:rsidR="006F6FE5" w:rsidRPr="00D731B7">
        <w:rPr>
          <w:rFonts w:ascii="Arial" w:hAnsi="Arial" w:cs="Arial"/>
        </w:rPr>
        <w:t xml:space="preserve">5/UE conduit à une modification </w:t>
      </w:r>
      <w:r w:rsidRPr="00D731B7">
        <w:rPr>
          <w:rFonts w:ascii="Arial" w:hAnsi="Arial" w:cs="Arial"/>
        </w:rPr>
        <w:t>des articles 37 (relatif au taux de change), 48 (relatif à la déduction de la taxe en amont) et 53 (relatif à la régularisation de la taxe en amont).</w:t>
      </w:r>
    </w:p>
    <w:p w:rsidR="00FA31B9" w:rsidRPr="00D731B7" w:rsidRDefault="00FA31B9" w:rsidP="00FA31B9">
      <w:pPr>
        <w:spacing w:after="0" w:line="240" w:lineRule="auto"/>
        <w:ind w:left="426"/>
        <w:jc w:val="both"/>
        <w:rPr>
          <w:rFonts w:ascii="Arial" w:hAnsi="Arial" w:cs="Arial"/>
        </w:rPr>
      </w:pPr>
    </w:p>
    <w:p w:rsidR="00CF6CCA" w:rsidRPr="00D731B7" w:rsidRDefault="00DB1C89" w:rsidP="00FA31B9">
      <w:pPr>
        <w:numPr>
          <w:ilvl w:val="0"/>
          <w:numId w:val="3"/>
        </w:numPr>
        <w:spacing w:after="0" w:line="240" w:lineRule="auto"/>
        <w:ind w:left="426"/>
        <w:jc w:val="both"/>
        <w:rPr>
          <w:rFonts w:ascii="Arial" w:hAnsi="Arial" w:cs="Arial"/>
        </w:rPr>
      </w:pPr>
      <w:r w:rsidRPr="00D731B7">
        <w:rPr>
          <w:rFonts w:ascii="Arial" w:hAnsi="Arial" w:cs="Arial"/>
        </w:rPr>
        <w:t>L’article III concerne une mesure transitoire devenue nécessaire du fait d</w:t>
      </w:r>
      <w:r w:rsidR="00B17192" w:rsidRPr="00D731B7">
        <w:rPr>
          <w:rFonts w:ascii="Arial" w:hAnsi="Arial" w:cs="Arial"/>
        </w:rPr>
        <w:t>e la transposition</w:t>
      </w:r>
      <w:r w:rsidR="00C32C99" w:rsidRPr="00D731B7">
        <w:rPr>
          <w:rFonts w:ascii="Arial" w:hAnsi="Arial" w:cs="Arial"/>
        </w:rPr>
        <w:t xml:space="preserve"> en droit national</w:t>
      </w:r>
      <w:r w:rsidR="00B17192" w:rsidRPr="00D731B7">
        <w:rPr>
          <w:rFonts w:ascii="Arial" w:hAnsi="Arial" w:cs="Arial"/>
        </w:rPr>
        <w:t xml:space="preserve"> des règles nouvelles en matière de déduction de la taxe en amont pour les assujettis au régime d’imposition d’après les recettes</w:t>
      </w:r>
      <w:r w:rsidR="006148A1" w:rsidRPr="00D731B7">
        <w:rPr>
          <w:rFonts w:ascii="Arial" w:hAnsi="Arial" w:cs="Arial"/>
        </w:rPr>
        <w:t xml:space="preserve"> (régime comptabilité caisse)</w:t>
      </w:r>
      <w:r w:rsidR="00B17192" w:rsidRPr="00D731B7">
        <w:rPr>
          <w:rFonts w:ascii="Arial" w:hAnsi="Arial" w:cs="Arial"/>
        </w:rPr>
        <w:t xml:space="preserve">. </w:t>
      </w:r>
    </w:p>
    <w:p w:rsidR="00FA31B9" w:rsidRPr="00D731B7" w:rsidRDefault="00FA31B9" w:rsidP="00FA31B9">
      <w:pPr>
        <w:spacing w:after="0" w:line="240" w:lineRule="auto"/>
        <w:ind w:left="426"/>
        <w:jc w:val="both"/>
        <w:rPr>
          <w:rFonts w:ascii="Arial" w:hAnsi="Arial" w:cs="Arial"/>
        </w:rPr>
      </w:pPr>
    </w:p>
    <w:p w:rsidR="00CF6CCA" w:rsidRPr="00D731B7" w:rsidRDefault="001113D9" w:rsidP="00FA31B9">
      <w:pPr>
        <w:numPr>
          <w:ilvl w:val="0"/>
          <w:numId w:val="3"/>
        </w:numPr>
        <w:spacing w:after="0" w:line="240" w:lineRule="auto"/>
        <w:ind w:left="426"/>
        <w:jc w:val="both"/>
        <w:rPr>
          <w:rFonts w:ascii="Arial" w:hAnsi="Arial" w:cs="Arial"/>
        </w:rPr>
      </w:pPr>
      <w:r w:rsidRPr="00D731B7">
        <w:rPr>
          <w:rFonts w:ascii="Arial" w:hAnsi="Arial" w:cs="Arial"/>
        </w:rPr>
        <w:t>L’article IV</w:t>
      </w:r>
      <w:r w:rsidR="006F6FE5" w:rsidRPr="00D731B7">
        <w:rPr>
          <w:rFonts w:ascii="Arial" w:hAnsi="Arial" w:cs="Arial"/>
        </w:rPr>
        <w:t xml:space="preserve"> fixe la date de mise en vigueur.</w:t>
      </w:r>
    </w:p>
    <w:sectPr w:rsidR="00CF6CCA" w:rsidRPr="00D731B7" w:rsidSect="007962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DE" w:rsidRDefault="00525EDE" w:rsidP="00C90829">
      <w:pPr>
        <w:spacing w:after="0" w:line="240" w:lineRule="auto"/>
      </w:pPr>
      <w:r>
        <w:separator/>
      </w:r>
    </w:p>
  </w:endnote>
  <w:endnote w:type="continuationSeparator" w:id="0">
    <w:p w:rsidR="00525EDE" w:rsidRDefault="00525EDE" w:rsidP="00C9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C8" w:rsidRDefault="003415DC">
    <w:pPr>
      <w:pStyle w:val="Pieddepage"/>
      <w:jc w:val="center"/>
    </w:pPr>
    <w:r>
      <w:fldChar w:fldCharType="begin"/>
    </w:r>
    <w:r>
      <w:instrText xml:space="preserve"> PAGE   \* MERGEFORMAT </w:instrText>
    </w:r>
    <w:r>
      <w:fldChar w:fldCharType="separate"/>
    </w:r>
    <w:r w:rsidR="00D54BE1">
      <w:rPr>
        <w:noProof/>
      </w:rPr>
      <w:t>1</w:t>
    </w:r>
    <w:r>
      <w:fldChar w:fldCharType="end"/>
    </w:r>
  </w:p>
  <w:p w:rsidR="000F31C8" w:rsidRDefault="000F31C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DE" w:rsidRDefault="00525EDE" w:rsidP="00C90829">
      <w:pPr>
        <w:spacing w:after="0" w:line="240" w:lineRule="auto"/>
      </w:pPr>
      <w:r>
        <w:separator/>
      </w:r>
    </w:p>
  </w:footnote>
  <w:footnote w:type="continuationSeparator" w:id="0">
    <w:p w:rsidR="00525EDE" w:rsidRDefault="00525EDE" w:rsidP="00C90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6364"/>
    <w:multiLevelType w:val="hybridMultilevel"/>
    <w:tmpl w:val="B6AEDB74"/>
    <w:lvl w:ilvl="0" w:tplc="35AC7324">
      <w:numFmt w:val="bullet"/>
      <w:lvlText w:val="-"/>
      <w:lvlJc w:val="left"/>
      <w:pPr>
        <w:ind w:left="720" w:hanging="360"/>
      </w:pPr>
      <w:rPr>
        <w:rFonts w:ascii="Times New Roman" w:eastAsia="Calibri"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1E60394"/>
    <w:multiLevelType w:val="hybridMultilevel"/>
    <w:tmpl w:val="CDA24F4E"/>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AAB6250"/>
    <w:multiLevelType w:val="hybridMultilevel"/>
    <w:tmpl w:val="3CFC04BA"/>
    <w:lvl w:ilvl="0" w:tplc="182467EC">
      <w:numFmt w:val="bullet"/>
      <w:lvlText w:val="-"/>
      <w:lvlJc w:val="left"/>
      <w:pPr>
        <w:ind w:left="927" w:hanging="360"/>
      </w:pPr>
      <w:rPr>
        <w:rFonts w:ascii="Times New Roman" w:eastAsia="Calibri" w:hAnsi="Times New Roman" w:cs="Times New Roman" w:hint="default"/>
      </w:rPr>
    </w:lvl>
    <w:lvl w:ilvl="1" w:tplc="140C0003" w:tentative="1">
      <w:start w:val="1"/>
      <w:numFmt w:val="bullet"/>
      <w:lvlText w:val="o"/>
      <w:lvlJc w:val="left"/>
      <w:pPr>
        <w:ind w:left="1647" w:hanging="360"/>
      </w:pPr>
      <w:rPr>
        <w:rFonts w:ascii="Courier New" w:hAnsi="Courier New" w:cs="Courier New" w:hint="default"/>
      </w:rPr>
    </w:lvl>
    <w:lvl w:ilvl="2" w:tplc="140C0005" w:tentative="1">
      <w:start w:val="1"/>
      <w:numFmt w:val="bullet"/>
      <w:lvlText w:val=""/>
      <w:lvlJc w:val="left"/>
      <w:pPr>
        <w:ind w:left="2367" w:hanging="360"/>
      </w:pPr>
      <w:rPr>
        <w:rFonts w:ascii="Wingdings" w:hAnsi="Wingdings" w:hint="default"/>
      </w:rPr>
    </w:lvl>
    <w:lvl w:ilvl="3" w:tplc="140C0001" w:tentative="1">
      <w:start w:val="1"/>
      <w:numFmt w:val="bullet"/>
      <w:lvlText w:val=""/>
      <w:lvlJc w:val="left"/>
      <w:pPr>
        <w:ind w:left="3087" w:hanging="360"/>
      </w:pPr>
      <w:rPr>
        <w:rFonts w:ascii="Symbol" w:hAnsi="Symbol" w:hint="default"/>
      </w:rPr>
    </w:lvl>
    <w:lvl w:ilvl="4" w:tplc="140C0003" w:tentative="1">
      <w:start w:val="1"/>
      <w:numFmt w:val="bullet"/>
      <w:lvlText w:val="o"/>
      <w:lvlJc w:val="left"/>
      <w:pPr>
        <w:ind w:left="3807" w:hanging="360"/>
      </w:pPr>
      <w:rPr>
        <w:rFonts w:ascii="Courier New" w:hAnsi="Courier New" w:cs="Courier New" w:hint="default"/>
      </w:rPr>
    </w:lvl>
    <w:lvl w:ilvl="5" w:tplc="140C0005" w:tentative="1">
      <w:start w:val="1"/>
      <w:numFmt w:val="bullet"/>
      <w:lvlText w:val=""/>
      <w:lvlJc w:val="left"/>
      <w:pPr>
        <w:ind w:left="4527" w:hanging="360"/>
      </w:pPr>
      <w:rPr>
        <w:rFonts w:ascii="Wingdings" w:hAnsi="Wingdings" w:hint="default"/>
      </w:rPr>
    </w:lvl>
    <w:lvl w:ilvl="6" w:tplc="140C0001" w:tentative="1">
      <w:start w:val="1"/>
      <w:numFmt w:val="bullet"/>
      <w:lvlText w:val=""/>
      <w:lvlJc w:val="left"/>
      <w:pPr>
        <w:ind w:left="5247" w:hanging="360"/>
      </w:pPr>
      <w:rPr>
        <w:rFonts w:ascii="Symbol" w:hAnsi="Symbol" w:hint="default"/>
      </w:rPr>
    </w:lvl>
    <w:lvl w:ilvl="7" w:tplc="140C0003" w:tentative="1">
      <w:start w:val="1"/>
      <w:numFmt w:val="bullet"/>
      <w:lvlText w:val="o"/>
      <w:lvlJc w:val="left"/>
      <w:pPr>
        <w:ind w:left="5967" w:hanging="360"/>
      </w:pPr>
      <w:rPr>
        <w:rFonts w:ascii="Courier New" w:hAnsi="Courier New" w:cs="Courier New" w:hint="default"/>
      </w:rPr>
    </w:lvl>
    <w:lvl w:ilvl="8" w:tplc="140C0005" w:tentative="1">
      <w:start w:val="1"/>
      <w:numFmt w:val="bullet"/>
      <w:lvlText w:val=""/>
      <w:lvlJc w:val="left"/>
      <w:pPr>
        <w:ind w:left="6687" w:hanging="360"/>
      </w:pPr>
      <w:rPr>
        <w:rFonts w:ascii="Wingdings" w:hAnsi="Wingdings" w:hint="default"/>
      </w:rPr>
    </w:lvl>
  </w:abstractNum>
  <w:abstractNum w:abstractNumId="3" w15:restartNumberingAfterBreak="0">
    <w:nsid w:val="46711BBE"/>
    <w:multiLevelType w:val="hybridMultilevel"/>
    <w:tmpl w:val="72E2E2D8"/>
    <w:lvl w:ilvl="0" w:tplc="2C52CDB6">
      <w:start w:val="3"/>
      <w:numFmt w:val="bullet"/>
      <w:lvlText w:val="-"/>
      <w:lvlJc w:val="left"/>
      <w:pPr>
        <w:ind w:left="1071" w:hanging="360"/>
      </w:pPr>
      <w:rPr>
        <w:rFonts w:ascii="Times New Roman" w:eastAsia="Times New Roman" w:hAnsi="Times New Roman" w:cs="Times New Roman" w:hint="default"/>
      </w:rPr>
    </w:lvl>
    <w:lvl w:ilvl="1" w:tplc="140C0003" w:tentative="1">
      <w:start w:val="1"/>
      <w:numFmt w:val="bullet"/>
      <w:lvlText w:val="o"/>
      <w:lvlJc w:val="left"/>
      <w:pPr>
        <w:ind w:left="1791" w:hanging="360"/>
      </w:pPr>
      <w:rPr>
        <w:rFonts w:ascii="Courier New" w:hAnsi="Courier New" w:cs="Courier New" w:hint="default"/>
      </w:rPr>
    </w:lvl>
    <w:lvl w:ilvl="2" w:tplc="140C0005" w:tentative="1">
      <w:start w:val="1"/>
      <w:numFmt w:val="bullet"/>
      <w:lvlText w:val=""/>
      <w:lvlJc w:val="left"/>
      <w:pPr>
        <w:ind w:left="2511" w:hanging="360"/>
      </w:pPr>
      <w:rPr>
        <w:rFonts w:ascii="Wingdings" w:hAnsi="Wingdings" w:hint="default"/>
      </w:rPr>
    </w:lvl>
    <w:lvl w:ilvl="3" w:tplc="140C0001" w:tentative="1">
      <w:start w:val="1"/>
      <w:numFmt w:val="bullet"/>
      <w:lvlText w:val=""/>
      <w:lvlJc w:val="left"/>
      <w:pPr>
        <w:ind w:left="3231" w:hanging="360"/>
      </w:pPr>
      <w:rPr>
        <w:rFonts w:ascii="Symbol" w:hAnsi="Symbol" w:hint="default"/>
      </w:rPr>
    </w:lvl>
    <w:lvl w:ilvl="4" w:tplc="140C0003" w:tentative="1">
      <w:start w:val="1"/>
      <w:numFmt w:val="bullet"/>
      <w:lvlText w:val="o"/>
      <w:lvlJc w:val="left"/>
      <w:pPr>
        <w:ind w:left="3951" w:hanging="360"/>
      </w:pPr>
      <w:rPr>
        <w:rFonts w:ascii="Courier New" w:hAnsi="Courier New" w:cs="Courier New" w:hint="default"/>
      </w:rPr>
    </w:lvl>
    <w:lvl w:ilvl="5" w:tplc="140C0005" w:tentative="1">
      <w:start w:val="1"/>
      <w:numFmt w:val="bullet"/>
      <w:lvlText w:val=""/>
      <w:lvlJc w:val="left"/>
      <w:pPr>
        <w:ind w:left="4671" w:hanging="360"/>
      </w:pPr>
      <w:rPr>
        <w:rFonts w:ascii="Wingdings" w:hAnsi="Wingdings" w:hint="default"/>
      </w:rPr>
    </w:lvl>
    <w:lvl w:ilvl="6" w:tplc="140C0001" w:tentative="1">
      <w:start w:val="1"/>
      <w:numFmt w:val="bullet"/>
      <w:lvlText w:val=""/>
      <w:lvlJc w:val="left"/>
      <w:pPr>
        <w:ind w:left="5391" w:hanging="360"/>
      </w:pPr>
      <w:rPr>
        <w:rFonts w:ascii="Symbol" w:hAnsi="Symbol" w:hint="default"/>
      </w:rPr>
    </w:lvl>
    <w:lvl w:ilvl="7" w:tplc="140C0003" w:tentative="1">
      <w:start w:val="1"/>
      <w:numFmt w:val="bullet"/>
      <w:lvlText w:val="o"/>
      <w:lvlJc w:val="left"/>
      <w:pPr>
        <w:ind w:left="6111" w:hanging="360"/>
      </w:pPr>
      <w:rPr>
        <w:rFonts w:ascii="Courier New" w:hAnsi="Courier New" w:cs="Courier New" w:hint="default"/>
      </w:rPr>
    </w:lvl>
    <w:lvl w:ilvl="8" w:tplc="140C0005" w:tentative="1">
      <w:start w:val="1"/>
      <w:numFmt w:val="bullet"/>
      <w:lvlText w:val=""/>
      <w:lvlJc w:val="left"/>
      <w:pPr>
        <w:ind w:left="6831" w:hanging="360"/>
      </w:pPr>
      <w:rPr>
        <w:rFonts w:ascii="Wingdings" w:hAnsi="Wingdings" w:hint="default"/>
      </w:rPr>
    </w:lvl>
  </w:abstractNum>
  <w:abstractNum w:abstractNumId="4" w15:restartNumberingAfterBreak="0">
    <w:nsid w:val="49946E77"/>
    <w:multiLevelType w:val="hybridMultilevel"/>
    <w:tmpl w:val="DE2A701C"/>
    <w:lvl w:ilvl="0" w:tplc="4F34DF4A">
      <w:numFmt w:val="bullet"/>
      <w:lvlText w:val="-"/>
      <w:lvlJc w:val="left"/>
      <w:pPr>
        <w:ind w:left="960" w:hanging="360"/>
      </w:pPr>
      <w:rPr>
        <w:rFonts w:ascii="Times New Roman" w:eastAsia="Calibri" w:hAnsi="Times New Roman" w:cs="Times New Roman" w:hint="default"/>
      </w:rPr>
    </w:lvl>
    <w:lvl w:ilvl="1" w:tplc="140C0003" w:tentative="1">
      <w:start w:val="1"/>
      <w:numFmt w:val="bullet"/>
      <w:lvlText w:val="o"/>
      <w:lvlJc w:val="left"/>
      <w:pPr>
        <w:ind w:left="1680" w:hanging="360"/>
      </w:pPr>
      <w:rPr>
        <w:rFonts w:ascii="Courier New" w:hAnsi="Courier New" w:cs="Courier New" w:hint="default"/>
      </w:rPr>
    </w:lvl>
    <w:lvl w:ilvl="2" w:tplc="140C0005" w:tentative="1">
      <w:start w:val="1"/>
      <w:numFmt w:val="bullet"/>
      <w:lvlText w:val=""/>
      <w:lvlJc w:val="left"/>
      <w:pPr>
        <w:ind w:left="2400" w:hanging="360"/>
      </w:pPr>
      <w:rPr>
        <w:rFonts w:ascii="Wingdings" w:hAnsi="Wingdings" w:hint="default"/>
      </w:rPr>
    </w:lvl>
    <w:lvl w:ilvl="3" w:tplc="140C0001" w:tentative="1">
      <w:start w:val="1"/>
      <w:numFmt w:val="bullet"/>
      <w:lvlText w:val=""/>
      <w:lvlJc w:val="left"/>
      <w:pPr>
        <w:ind w:left="3120" w:hanging="360"/>
      </w:pPr>
      <w:rPr>
        <w:rFonts w:ascii="Symbol" w:hAnsi="Symbol" w:hint="default"/>
      </w:rPr>
    </w:lvl>
    <w:lvl w:ilvl="4" w:tplc="140C0003" w:tentative="1">
      <w:start w:val="1"/>
      <w:numFmt w:val="bullet"/>
      <w:lvlText w:val="o"/>
      <w:lvlJc w:val="left"/>
      <w:pPr>
        <w:ind w:left="3840" w:hanging="360"/>
      </w:pPr>
      <w:rPr>
        <w:rFonts w:ascii="Courier New" w:hAnsi="Courier New" w:cs="Courier New" w:hint="default"/>
      </w:rPr>
    </w:lvl>
    <w:lvl w:ilvl="5" w:tplc="140C0005" w:tentative="1">
      <w:start w:val="1"/>
      <w:numFmt w:val="bullet"/>
      <w:lvlText w:val=""/>
      <w:lvlJc w:val="left"/>
      <w:pPr>
        <w:ind w:left="4560" w:hanging="360"/>
      </w:pPr>
      <w:rPr>
        <w:rFonts w:ascii="Wingdings" w:hAnsi="Wingdings" w:hint="default"/>
      </w:rPr>
    </w:lvl>
    <w:lvl w:ilvl="6" w:tplc="140C0001" w:tentative="1">
      <w:start w:val="1"/>
      <w:numFmt w:val="bullet"/>
      <w:lvlText w:val=""/>
      <w:lvlJc w:val="left"/>
      <w:pPr>
        <w:ind w:left="5280" w:hanging="360"/>
      </w:pPr>
      <w:rPr>
        <w:rFonts w:ascii="Symbol" w:hAnsi="Symbol" w:hint="default"/>
      </w:rPr>
    </w:lvl>
    <w:lvl w:ilvl="7" w:tplc="140C0003" w:tentative="1">
      <w:start w:val="1"/>
      <w:numFmt w:val="bullet"/>
      <w:lvlText w:val="o"/>
      <w:lvlJc w:val="left"/>
      <w:pPr>
        <w:ind w:left="6000" w:hanging="360"/>
      </w:pPr>
      <w:rPr>
        <w:rFonts w:ascii="Courier New" w:hAnsi="Courier New" w:cs="Courier New" w:hint="default"/>
      </w:rPr>
    </w:lvl>
    <w:lvl w:ilvl="8" w:tplc="140C0005" w:tentative="1">
      <w:start w:val="1"/>
      <w:numFmt w:val="bullet"/>
      <w:lvlText w:val=""/>
      <w:lvlJc w:val="left"/>
      <w:pPr>
        <w:ind w:left="6720" w:hanging="360"/>
      </w:pPr>
      <w:rPr>
        <w:rFonts w:ascii="Wingdings" w:hAnsi="Wingdings" w:hint="default"/>
      </w:rPr>
    </w:lvl>
  </w:abstractNum>
  <w:abstractNum w:abstractNumId="5" w15:restartNumberingAfterBreak="0">
    <w:nsid w:val="4F1823C5"/>
    <w:multiLevelType w:val="hybridMultilevel"/>
    <w:tmpl w:val="2C18EED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5DF42F68"/>
    <w:multiLevelType w:val="hybridMultilevel"/>
    <w:tmpl w:val="52A05A2E"/>
    <w:lvl w:ilvl="0" w:tplc="B936E7BA">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30B7A12"/>
    <w:multiLevelType w:val="hybridMultilevel"/>
    <w:tmpl w:val="28580CD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7B037BD6"/>
    <w:multiLevelType w:val="hybridMultilevel"/>
    <w:tmpl w:val="47B8B8C0"/>
    <w:lvl w:ilvl="0" w:tplc="0456AA6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4"/>
  </w:num>
  <w:num w:numId="6">
    <w:abstractNumId w:val="2"/>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60A"/>
    <w:rsid w:val="000019D6"/>
    <w:rsid w:val="0002423C"/>
    <w:rsid w:val="0003474E"/>
    <w:rsid w:val="0005029C"/>
    <w:rsid w:val="00052188"/>
    <w:rsid w:val="00061CD5"/>
    <w:rsid w:val="00074534"/>
    <w:rsid w:val="00076885"/>
    <w:rsid w:val="000B09B2"/>
    <w:rsid w:val="000B4909"/>
    <w:rsid w:val="000D11F4"/>
    <w:rsid w:val="000D3424"/>
    <w:rsid w:val="000D6F2E"/>
    <w:rsid w:val="000E0D16"/>
    <w:rsid w:val="000E3308"/>
    <w:rsid w:val="000E4313"/>
    <w:rsid w:val="000E50E0"/>
    <w:rsid w:val="000F05F5"/>
    <w:rsid w:val="000F31C8"/>
    <w:rsid w:val="000F4447"/>
    <w:rsid w:val="000F4C71"/>
    <w:rsid w:val="00100C87"/>
    <w:rsid w:val="001113D9"/>
    <w:rsid w:val="00126E1E"/>
    <w:rsid w:val="00135180"/>
    <w:rsid w:val="0013627F"/>
    <w:rsid w:val="001407F6"/>
    <w:rsid w:val="001569E2"/>
    <w:rsid w:val="00166F75"/>
    <w:rsid w:val="00166FA7"/>
    <w:rsid w:val="00171218"/>
    <w:rsid w:val="00172E54"/>
    <w:rsid w:val="001754C4"/>
    <w:rsid w:val="00181F8E"/>
    <w:rsid w:val="00182B36"/>
    <w:rsid w:val="001A241D"/>
    <w:rsid w:val="001C6649"/>
    <w:rsid w:val="001E4137"/>
    <w:rsid w:val="002067C9"/>
    <w:rsid w:val="00261A54"/>
    <w:rsid w:val="00261DB2"/>
    <w:rsid w:val="00292EB9"/>
    <w:rsid w:val="00297114"/>
    <w:rsid w:val="002A2530"/>
    <w:rsid w:val="002B701A"/>
    <w:rsid w:val="002C061C"/>
    <w:rsid w:val="002D257E"/>
    <w:rsid w:val="002D28F6"/>
    <w:rsid w:val="002D4532"/>
    <w:rsid w:val="003379A1"/>
    <w:rsid w:val="003415DC"/>
    <w:rsid w:val="0035605D"/>
    <w:rsid w:val="003776A8"/>
    <w:rsid w:val="00385912"/>
    <w:rsid w:val="003A07B4"/>
    <w:rsid w:val="003A2FDA"/>
    <w:rsid w:val="003A65DE"/>
    <w:rsid w:val="003B6304"/>
    <w:rsid w:val="003C56F1"/>
    <w:rsid w:val="003C5861"/>
    <w:rsid w:val="003C6706"/>
    <w:rsid w:val="003F0069"/>
    <w:rsid w:val="003F1F9B"/>
    <w:rsid w:val="003F5E86"/>
    <w:rsid w:val="004022E4"/>
    <w:rsid w:val="0040271D"/>
    <w:rsid w:val="004160D4"/>
    <w:rsid w:val="004162A9"/>
    <w:rsid w:val="0044054D"/>
    <w:rsid w:val="004411F0"/>
    <w:rsid w:val="00446ABE"/>
    <w:rsid w:val="004547AB"/>
    <w:rsid w:val="00462D0E"/>
    <w:rsid w:val="00465F5E"/>
    <w:rsid w:val="00467A06"/>
    <w:rsid w:val="00474B6B"/>
    <w:rsid w:val="00487499"/>
    <w:rsid w:val="00497083"/>
    <w:rsid w:val="004C688E"/>
    <w:rsid w:val="004D2C9C"/>
    <w:rsid w:val="004D4F5C"/>
    <w:rsid w:val="004D7508"/>
    <w:rsid w:val="004E0975"/>
    <w:rsid w:val="004F3B16"/>
    <w:rsid w:val="004F6E4F"/>
    <w:rsid w:val="00504728"/>
    <w:rsid w:val="0050664C"/>
    <w:rsid w:val="00521DC6"/>
    <w:rsid w:val="00524B16"/>
    <w:rsid w:val="0052551F"/>
    <w:rsid w:val="00525EDE"/>
    <w:rsid w:val="00533701"/>
    <w:rsid w:val="005347E4"/>
    <w:rsid w:val="00536B33"/>
    <w:rsid w:val="00546956"/>
    <w:rsid w:val="005508D7"/>
    <w:rsid w:val="00564C42"/>
    <w:rsid w:val="00580F92"/>
    <w:rsid w:val="00582313"/>
    <w:rsid w:val="005A21EF"/>
    <w:rsid w:val="005B772B"/>
    <w:rsid w:val="005C1E99"/>
    <w:rsid w:val="005E4EBB"/>
    <w:rsid w:val="005F70C6"/>
    <w:rsid w:val="006148A1"/>
    <w:rsid w:val="00617F48"/>
    <w:rsid w:val="006401F6"/>
    <w:rsid w:val="00650052"/>
    <w:rsid w:val="006719FE"/>
    <w:rsid w:val="00674908"/>
    <w:rsid w:val="0067637E"/>
    <w:rsid w:val="006948D3"/>
    <w:rsid w:val="006949A4"/>
    <w:rsid w:val="006A1D72"/>
    <w:rsid w:val="006D20A7"/>
    <w:rsid w:val="006D6F17"/>
    <w:rsid w:val="006E6684"/>
    <w:rsid w:val="006F40EA"/>
    <w:rsid w:val="006F6FE5"/>
    <w:rsid w:val="00751EF6"/>
    <w:rsid w:val="00753F82"/>
    <w:rsid w:val="007658BA"/>
    <w:rsid w:val="00791007"/>
    <w:rsid w:val="007943D9"/>
    <w:rsid w:val="007962DB"/>
    <w:rsid w:val="007C358C"/>
    <w:rsid w:val="007D270E"/>
    <w:rsid w:val="007D3959"/>
    <w:rsid w:val="007E4984"/>
    <w:rsid w:val="00810D28"/>
    <w:rsid w:val="0081330D"/>
    <w:rsid w:val="00827D9B"/>
    <w:rsid w:val="00847F08"/>
    <w:rsid w:val="00853557"/>
    <w:rsid w:val="00871E37"/>
    <w:rsid w:val="00872723"/>
    <w:rsid w:val="00890F39"/>
    <w:rsid w:val="008B7997"/>
    <w:rsid w:val="008C4B2A"/>
    <w:rsid w:val="008D66D3"/>
    <w:rsid w:val="008D79BF"/>
    <w:rsid w:val="008F2C03"/>
    <w:rsid w:val="008F5BD5"/>
    <w:rsid w:val="0090350D"/>
    <w:rsid w:val="00904330"/>
    <w:rsid w:val="009226AA"/>
    <w:rsid w:val="009274BA"/>
    <w:rsid w:val="009327AD"/>
    <w:rsid w:val="009919FF"/>
    <w:rsid w:val="00994628"/>
    <w:rsid w:val="009A0B0B"/>
    <w:rsid w:val="009A3AF6"/>
    <w:rsid w:val="009A4768"/>
    <w:rsid w:val="009A570C"/>
    <w:rsid w:val="009B2634"/>
    <w:rsid w:val="009B4BEE"/>
    <w:rsid w:val="009B6D5F"/>
    <w:rsid w:val="009C1CA4"/>
    <w:rsid w:val="009C7B14"/>
    <w:rsid w:val="009D5026"/>
    <w:rsid w:val="009E1565"/>
    <w:rsid w:val="009E7D38"/>
    <w:rsid w:val="009F1F63"/>
    <w:rsid w:val="009F3E23"/>
    <w:rsid w:val="00A07C9F"/>
    <w:rsid w:val="00A11546"/>
    <w:rsid w:val="00A158A5"/>
    <w:rsid w:val="00A173F2"/>
    <w:rsid w:val="00A2760A"/>
    <w:rsid w:val="00A75235"/>
    <w:rsid w:val="00A80267"/>
    <w:rsid w:val="00A86C38"/>
    <w:rsid w:val="00A87044"/>
    <w:rsid w:val="00A87796"/>
    <w:rsid w:val="00A87ED1"/>
    <w:rsid w:val="00A9686A"/>
    <w:rsid w:val="00AA5605"/>
    <w:rsid w:val="00AD1679"/>
    <w:rsid w:val="00AE52E2"/>
    <w:rsid w:val="00B0395F"/>
    <w:rsid w:val="00B17192"/>
    <w:rsid w:val="00B31E2A"/>
    <w:rsid w:val="00B34426"/>
    <w:rsid w:val="00B36088"/>
    <w:rsid w:val="00B408B5"/>
    <w:rsid w:val="00B4154B"/>
    <w:rsid w:val="00B43973"/>
    <w:rsid w:val="00B45CA2"/>
    <w:rsid w:val="00B51A08"/>
    <w:rsid w:val="00B819A1"/>
    <w:rsid w:val="00B83F64"/>
    <w:rsid w:val="00B86AF8"/>
    <w:rsid w:val="00B86B8B"/>
    <w:rsid w:val="00B94E45"/>
    <w:rsid w:val="00BB77C8"/>
    <w:rsid w:val="00BE2FB1"/>
    <w:rsid w:val="00C0452C"/>
    <w:rsid w:val="00C0620F"/>
    <w:rsid w:val="00C076CE"/>
    <w:rsid w:val="00C25F28"/>
    <w:rsid w:val="00C32843"/>
    <w:rsid w:val="00C32C99"/>
    <w:rsid w:val="00C33410"/>
    <w:rsid w:val="00C35BE2"/>
    <w:rsid w:val="00C44A3F"/>
    <w:rsid w:val="00C60104"/>
    <w:rsid w:val="00C679FC"/>
    <w:rsid w:val="00C67B62"/>
    <w:rsid w:val="00C904EB"/>
    <w:rsid w:val="00C90829"/>
    <w:rsid w:val="00CA2B6F"/>
    <w:rsid w:val="00CA7A9F"/>
    <w:rsid w:val="00CB6754"/>
    <w:rsid w:val="00CC3E5B"/>
    <w:rsid w:val="00CC48AC"/>
    <w:rsid w:val="00CC63D7"/>
    <w:rsid w:val="00CD2DCB"/>
    <w:rsid w:val="00CD5167"/>
    <w:rsid w:val="00CE0818"/>
    <w:rsid w:val="00CE74CE"/>
    <w:rsid w:val="00CF6CCA"/>
    <w:rsid w:val="00D03916"/>
    <w:rsid w:val="00D10BD9"/>
    <w:rsid w:val="00D14023"/>
    <w:rsid w:val="00D17A56"/>
    <w:rsid w:val="00D45111"/>
    <w:rsid w:val="00D5078A"/>
    <w:rsid w:val="00D54BE1"/>
    <w:rsid w:val="00D57220"/>
    <w:rsid w:val="00D63A6B"/>
    <w:rsid w:val="00D731B7"/>
    <w:rsid w:val="00D75BC8"/>
    <w:rsid w:val="00D771B3"/>
    <w:rsid w:val="00D9252E"/>
    <w:rsid w:val="00D977BE"/>
    <w:rsid w:val="00DA3F30"/>
    <w:rsid w:val="00DB1C89"/>
    <w:rsid w:val="00DF75B0"/>
    <w:rsid w:val="00E06CD8"/>
    <w:rsid w:val="00E101EF"/>
    <w:rsid w:val="00E16F61"/>
    <w:rsid w:val="00E2393B"/>
    <w:rsid w:val="00E2652A"/>
    <w:rsid w:val="00E3445A"/>
    <w:rsid w:val="00E441F0"/>
    <w:rsid w:val="00E478AD"/>
    <w:rsid w:val="00E52393"/>
    <w:rsid w:val="00E705C6"/>
    <w:rsid w:val="00E80B54"/>
    <w:rsid w:val="00E873EC"/>
    <w:rsid w:val="00E91597"/>
    <w:rsid w:val="00EA0E44"/>
    <w:rsid w:val="00EA1627"/>
    <w:rsid w:val="00EB2EF9"/>
    <w:rsid w:val="00F026C0"/>
    <w:rsid w:val="00F24548"/>
    <w:rsid w:val="00F419C4"/>
    <w:rsid w:val="00F90B3C"/>
    <w:rsid w:val="00FA31B9"/>
    <w:rsid w:val="00FA5B14"/>
    <w:rsid w:val="00FB427E"/>
    <w:rsid w:val="00FD025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A76F3872-CBDA-40BB-956D-00FE4BDD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2DB"/>
    <w:pPr>
      <w:spacing w:after="200" w:line="276" w:lineRule="auto"/>
    </w:pPr>
    <w:rPr>
      <w:sz w:val="22"/>
      <w:szCs w:val="22"/>
      <w:lang w:eastAsia="en-US"/>
    </w:rPr>
  </w:style>
  <w:style w:type="paragraph" w:styleId="Titre2">
    <w:name w:val="heading 2"/>
    <w:basedOn w:val="Normal"/>
    <w:next w:val="Normal"/>
    <w:link w:val="Titre2Car"/>
    <w:qFormat/>
    <w:rsid w:val="00B31E2A"/>
    <w:pPr>
      <w:keepNext/>
      <w:spacing w:after="0" w:line="320" w:lineRule="atLeast"/>
      <w:ind w:left="284" w:hanging="284"/>
      <w:jc w:val="center"/>
      <w:outlineLvl w:val="1"/>
    </w:pPr>
    <w:rPr>
      <w:rFonts w:ascii="Times New Roman" w:eastAsia="Times New Roman" w:hAnsi="Times New Roman"/>
      <w:sz w:val="24"/>
      <w:szCs w:val="20"/>
      <w:lang w:val="fr-FR" w:eastAsia="fr-FR"/>
    </w:rPr>
  </w:style>
  <w:style w:type="paragraph" w:styleId="Titre5">
    <w:name w:val="heading 5"/>
    <w:basedOn w:val="Normal"/>
    <w:next w:val="Normal"/>
    <w:link w:val="Titre5Car"/>
    <w:qFormat/>
    <w:rsid w:val="00B31E2A"/>
    <w:pPr>
      <w:spacing w:before="240" w:after="60" w:line="240" w:lineRule="auto"/>
      <w:outlineLvl w:val="4"/>
    </w:pPr>
    <w:rPr>
      <w:rFonts w:ascii="Times New Roman" w:eastAsia="Times New Roman" w:hAnsi="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F4C71"/>
    <w:pPr>
      <w:autoSpaceDE w:val="0"/>
      <w:autoSpaceDN w:val="0"/>
      <w:adjustRightInd w:val="0"/>
    </w:pPr>
    <w:rPr>
      <w:rFonts w:ascii="Swis721 BT" w:hAnsi="Swis721 BT" w:cs="Swis721 BT"/>
      <w:color w:val="000000"/>
      <w:sz w:val="24"/>
      <w:szCs w:val="24"/>
    </w:rPr>
  </w:style>
  <w:style w:type="paragraph" w:customStyle="1" w:styleId="Pa4">
    <w:name w:val="Pa4"/>
    <w:basedOn w:val="Default"/>
    <w:next w:val="Default"/>
    <w:uiPriority w:val="99"/>
    <w:rsid w:val="000F4C71"/>
    <w:pPr>
      <w:spacing w:line="201" w:lineRule="atLeast"/>
    </w:pPr>
    <w:rPr>
      <w:rFonts w:cs="Times New Roman"/>
      <w:color w:val="auto"/>
    </w:rPr>
  </w:style>
  <w:style w:type="paragraph" w:customStyle="1" w:styleId="Pa5">
    <w:name w:val="Pa5"/>
    <w:basedOn w:val="Default"/>
    <w:next w:val="Default"/>
    <w:uiPriority w:val="99"/>
    <w:rsid w:val="000F4C71"/>
    <w:pPr>
      <w:spacing w:line="201" w:lineRule="atLeast"/>
    </w:pPr>
    <w:rPr>
      <w:rFonts w:cs="Times New Roman"/>
      <w:color w:val="auto"/>
    </w:rPr>
  </w:style>
  <w:style w:type="paragraph" w:customStyle="1" w:styleId="Pa10">
    <w:name w:val="Pa10"/>
    <w:basedOn w:val="Default"/>
    <w:next w:val="Default"/>
    <w:uiPriority w:val="99"/>
    <w:rsid w:val="000E50E0"/>
    <w:pPr>
      <w:spacing w:line="201" w:lineRule="atLeast"/>
    </w:pPr>
    <w:rPr>
      <w:rFonts w:ascii="Times New Roman" w:hAnsi="Times New Roman" w:cs="Times New Roman"/>
      <w:color w:val="auto"/>
    </w:rPr>
  </w:style>
  <w:style w:type="paragraph" w:customStyle="1" w:styleId="Pa15">
    <w:name w:val="Pa15"/>
    <w:basedOn w:val="Default"/>
    <w:next w:val="Default"/>
    <w:uiPriority w:val="99"/>
    <w:rsid w:val="000E50E0"/>
    <w:pPr>
      <w:spacing w:line="201" w:lineRule="atLeast"/>
    </w:pPr>
    <w:rPr>
      <w:rFonts w:ascii="Times New Roman" w:hAnsi="Times New Roman" w:cs="Times New Roman"/>
      <w:color w:val="auto"/>
    </w:rPr>
  </w:style>
  <w:style w:type="paragraph" w:customStyle="1" w:styleId="Pa16">
    <w:name w:val="Pa16"/>
    <w:basedOn w:val="Default"/>
    <w:next w:val="Default"/>
    <w:uiPriority w:val="99"/>
    <w:rsid w:val="0067637E"/>
    <w:pPr>
      <w:spacing w:line="201" w:lineRule="atLeast"/>
    </w:pPr>
    <w:rPr>
      <w:rFonts w:ascii="Times New Roman" w:hAnsi="Times New Roman" w:cs="Times New Roman"/>
      <w:color w:val="auto"/>
    </w:rPr>
  </w:style>
  <w:style w:type="paragraph" w:customStyle="1" w:styleId="Pa24">
    <w:name w:val="Pa24"/>
    <w:basedOn w:val="Default"/>
    <w:next w:val="Default"/>
    <w:uiPriority w:val="99"/>
    <w:rsid w:val="0067637E"/>
    <w:pPr>
      <w:spacing w:line="201" w:lineRule="atLeast"/>
    </w:pPr>
    <w:rPr>
      <w:rFonts w:ascii="Times New Roman" w:hAnsi="Times New Roman" w:cs="Times New Roman"/>
      <w:color w:val="auto"/>
    </w:rPr>
  </w:style>
  <w:style w:type="paragraph" w:customStyle="1" w:styleId="Pa17">
    <w:name w:val="Pa17"/>
    <w:basedOn w:val="Default"/>
    <w:next w:val="Default"/>
    <w:uiPriority w:val="99"/>
    <w:rsid w:val="0067637E"/>
    <w:pPr>
      <w:spacing w:line="201" w:lineRule="atLeast"/>
    </w:pPr>
    <w:rPr>
      <w:rFonts w:ascii="Times New Roman" w:hAnsi="Times New Roman" w:cs="Times New Roman"/>
      <w:color w:val="auto"/>
    </w:rPr>
  </w:style>
  <w:style w:type="paragraph" w:customStyle="1" w:styleId="CM1">
    <w:name w:val="CM1"/>
    <w:basedOn w:val="Normal"/>
    <w:next w:val="Normal"/>
    <w:uiPriority w:val="99"/>
    <w:rsid w:val="005A21EF"/>
    <w:pPr>
      <w:autoSpaceDE w:val="0"/>
      <w:autoSpaceDN w:val="0"/>
      <w:adjustRightInd w:val="0"/>
      <w:spacing w:after="0" w:line="240" w:lineRule="auto"/>
    </w:pPr>
    <w:rPr>
      <w:rFonts w:ascii="Times New Roman" w:hAnsi="Times New Roman"/>
      <w:sz w:val="24"/>
      <w:szCs w:val="24"/>
    </w:rPr>
  </w:style>
  <w:style w:type="paragraph" w:customStyle="1" w:styleId="CM4">
    <w:name w:val="CM4"/>
    <w:basedOn w:val="Normal"/>
    <w:next w:val="Normal"/>
    <w:uiPriority w:val="99"/>
    <w:rsid w:val="005A21EF"/>
    <w:pPr>
      <w:autoSpaceDE w:val="0"/>
      <w:autoSpaceDN w:val="0"/>
      <w:adjustRightInd w:val="0"/>
      <w:spacing w:after="0" w:line="240" w:lineRule="auto"/>
    </w:pPr>
    <w:rPr>
      <w:rFonts w:ascii="Times New Roman" w:hAnsi="Times New Roman"/>
      <w:sz w:val="24"/>
      <w:szCs w:val="24"/>
    </w:rPr>
  </w:style>
  <w:style w:type="paragraph" w:styleId="En-tte">
    <w:name w:val="header"/>
    <w:basedOn w:val="Normal"/>
    <w:link w:val="En-tteCar"/>
    <w:uiPriority w:val="99"/>
    <w:semiHidden/>
    <w:unhideWhenUsed/>
    <w:rsid w:val="00C90829"/>
    <w:pPr>
      <w:tabs>
        <w:tab w:val="center" w:pos="4536"/>
        <w:tab w:val="right" w:pos="9072"/>
      </w:tabs>
    </w:pPr>
  </w:style>
  <w:style w:type="character" w:customStyle="1" w:styleId="En-tteCar">
    <w:name w:val="En-tête Car"/>
    <w:basedOn w:val="Policepardfaut"/>
    <w:link w:val="En-tte"/>
    <w:uiPriority w:val="99"/>
    <w:semiHidden/>
    <w:rsid w:val="00C90829"/>
    <w:rPr>
      <w:sz w:val="22"/>
      <w:szCs w:val="22"/>
      <w:lang w:eastAsia="en-US"/>
    </w:rPr>
  </w:style>
  <w:style w:type="paragraph" w:styleId="Pieddepage">
    <w:name w:val="footer"/>
    <w:basedOn w:val="Normal"/>
    <w:link w:val="PieddepageCar"/>
    <w:uiPriority w:val="99"/>
    <w:unhideWhenUsed/>
    <w:rsid w:val="00C90829"/>
    <w:pPr>
      <w:tabs>
        <w:tab w:val="center" w:pos="4536"/>
        <w:tab w:val="right" w:pos="9072"/>
      </w:tabs>
    </w:pPr>
  </w:style>
  <w:style w:type="character" w:customStyle="1" w:styleId="PieddepageCar">
    <w:name w:val="Pied de page Car"/>
    <w:basedOn w:val="Policepardfaut"/>
    <w:link w:val="Pieddepage"/>
    <w:uiPriority w:val="99"/>
    <w:rsid w:val="00C90829"/>
    <w:rPr>
      <w:sz w:val="22"/>
      <w:szCs w:val="22"/>
      <w:lang w:eastAsia="en-US"/>
    </w:rPr>
  </w:style>
  <w:style w:type="paragraph" w:styleId="Textedebulles">
    <w:name w:val="Balloon Text"/>
    <w:basedOn w:val="Normal"/>
    <w:link w:val="TextedebullesCar"/>
    <w:uiPriority w:val="99"/>
    <w:semiHidden/>
    <w:unhideWhenUsed/>
    <w:rsid w:val="00751E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1EF6"/>
    <w:rPr>
      <w:rFonts w:ascii="Tahoma" w:hAnsi="Tahoma" w:cs="Tahoma"/>
      <w:sz w:val="16"/>
      <w:szCs w:val="16"/>
      <w:lang w:eastAsia="en-US"/>
    </w:rPr>
  </w:style>
  <w:style w:type="paragraph" w:styleId="Paragraphedeliste">
    <w:name w:val="List Paragraph"/>
    <w:basedOn w:val="Normal"/>
    <w:uiPriority w:val="34"/>
    <w:qFormat/>
    <w:rsid w:val="009C1CA4"/>
    <w:pPr>
      <w:spacing w:after="0" w:line="240" w:lineRule="auto"/>
      <w:ind w:left="720"/>
      <w:contextualSpacing/>
    </w:pPr>
    <w:rPr>
      <w:rFonts w:ascii="Times New Roman" w:eastAsia="Times New Roman" w:hAnsi="Times New Roman"/>
      <w:sz w:val="24"/>
      <w:szCs w:val="24"/>
      <w:lang w:val="fr-FR" w:eastAsia="fr-FR"/>
    </w:rPr>
  </w:style>
  <w:style w:type="character" w:customStyle="1" w:styleId="Titre2Car">
    <w:name w:val="Titre 2 Car"/>
    <w:basedOn w:val="Policepardfaut"/>
    <w:link w:val="Titre2"/>
    <w:rsid w:val="00B31E2A"/>
    <w:rPr>
      <w:rFonts w:ascii="Times New Roman" w:eastAsia="Times New Roman" w:hAnsi="Times New Roman"/>
      <w:sz w:val="24"/>
      <w:lang w:val="fr-FR" w:eastAsia="fr-FR"/>
    </w:rPr>
  </w:style>
  <w:style w:type="character" w:customStyle="1" w:styleId="Titre5Car">
    <w:name w:val="Titre 5 Car"/>
    <w:basedOn w:val="Policepardfaut"/>
    <w:link w:val="Titre5"/>
    <w:rsid w:val="00B31E2A"/>
    <w:rPr>
      <w:rFonts w:ascii="Times New Roman" w:eastAsia="Times New Roman" w:hAnsi="Times New Roman"/>
      <w:b/>
      <w:bCs/>
      <w:i/>
      <w:iCs/>
      <w:sz w:val="26"/>
      <w:szCs w:val="2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54345">
      <w:bodyDiv w:val="1"/>
      <w:marLeft w:val="0"/>
      <w:marRight w:val="0"/>
      <w:marTop w:val="0"/>
      <w:marBottom w:val="0"/>
      <w:divBdr>
        <w:top w:val="none" w:sz="0" w:space="0" w:color="auto"/>
        <w:left w:val="none" w:sz="0" w:space="0" w:color="auto"/>
        <w:bottom w:val="none" w:sz="0" w:space="0" w:color="auto"/>
        <w:right w:val="none" w:sz="0" w:space="0" w:color="auto"/>
      </w:divBdr>
    </w:div>
    <w:div w:id="95166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920E4AB-B762-428E-B245-72EA2AD94B66}">
  <ds:schemaRefs>
    <ds:schemaRef ds:uri="http://schemas.openxmlformats.org/officeDocument/2006/bibliography"/>
  </ds:schemaRefs>
</ds:datastoreItem>
</file>

<file path=customXml/itemProps2.xml><?xml version="1.0" encoding="utf-8"?>
<ds:datastoreItem xmlns:ds="http://schemas.openxmlformats.org/officeDocument/2006/customXml" ds:itemID="{A6B49071-A73D-4B84-842A-4548AF809443}"/>
</file>

<file path=customXml/itemProps3.xml><?xml version="1.0" encoding="utf-8"?>
<ds:datastoreItem xmlns:ds="http://schemas.openxmlformats.org/officeDocument/2006/customXml" ds:itemID="{A72AD054-36E6-4905-B933-B9BB3731C111}"/>
</file>

<file path=customXml/itemProps4.xml><?xml version="1.0" encoding="utf-8"?>
<ds:datastoreItem xmlns:ds="http://schemas.openxmlformats.org/officeDocument/2006/customXml" ds:itemID="{1F31013B-900B-42BE-B3FB-8C28F94D1FBD}"/>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4307</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AED</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Norbert Haupert</dc:creator>
  <cp:keywords/>
  <cp:lastModifiedBy>SYSTEM</cp:lastModifiedBy>
  <cp:revision>2</cp:revision>
  <cp:lastPrinted>2013-02-08T09:29:00Z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