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F3ED4"/>
    <w:rsid w:val="00233082"/>
    <w:rsid w:val="002913E5"/>
    <w:rsid w:val="002A64EE"/>
    <w:rsid w:val="002C419D"/>
    <w:rsid w:val="00342307"/>
    <w:rsid w:val="00434D16"/>
    <w:rsid w:val="004721D2"/>
    <w:rsid w:val="005636A4"/>
    <w:rsid w:val="007515C5"/>
    <w:rsid w:val="00775C63"/>
    <w:rsid w:val="007C16B5"/>
    <w:rsid w:val="00953DED"/>
    <w:rsid w:val="00967FC5"/>
    <w:rsid w:val="00AC385A"/>
    <w:rsid w:val="00B332F1"/>
    <w:rsid w:val="00B36AD0"/>
    <w:rsid w:val="00C9109A"/>
    <w:rsid w:val="00EF3A48"/>
    <w:rsid w:val="00F032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99F4EE-7C5D-4BFB-805A-2A98F29C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FF78442-533B-4C47-94F3-A38FD41DAA3E}"/>
</file>

<file path=customXml/itemProps2.xml><?xml version="1.0" encoding="utf-8"?>
<ds:datastoreItem xmlns:ds="http://schemas.openxmlformats.org/officeDocument/2006/customXml" ds:itemID="{23CEA442-5C2F-416A-83A1-21205C70ABB5}"/>
</file>

<file path=customXml/itemProps3.xml><?xml version="1.0" encoding="utf-8"?>
<ds:datastoreItem xmlns:ds="http://schemas.openxmlformats.org/officeDocument/2006/customXml" ds:itemID="{CB3A7AE3-1B7C-4FA8-A0BE-0A53D0134064}"/>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