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1A" w:rsidRPr="00DD03C7" w:rsidRDefault="005708F2" w:rsidP="00DD03C7">
      <w:pPr>
        <w:pStyle w:val="Sansinterligne"/>
        <w:ind w:right="43"/>
        <w:jc w:val="both"/>
        <w:rPr>
          <w:rFonts w:ascii="Arial" w:hAnsi="Arial" w:cs="Arial"/>
          <w:b/>
          <w:bCs/>
          <w:sz w:val="22"/>
          <w:szCs w:val="22"/>
          <w:lang w:val="fr-LU" w:eastAsia="fr-LU"/>
        </w:rPr>
      </w:pPr>
      <w:bookmarkStart w:id="0" w:name="_GoBack"/>
      <w:bookmarkEnd w:id="0"/>
      <w:r w:rsidRPr="00DD03C7">
        <w:rPr>
          <w:rFonts w:ascii="Arial" w:hAnsi="Arial" w:cs="Arial"/>
          <w:b/>
          <w:sz w:val="22"/>
          <w:szCs w:val="22"/>
          <w:lang w:val="fr-FR"/>
        </w:rPr>
        <w:t xml:space="preserve">Projet de loi </w:t>
      </w:r>
      <w:r w:rsidR="00DD03C7" w:rsidRPr="00DD03C7">
        <w:rPr>
          <w:rFonts w:ascii="Arial" w:hAnsi="Arial" w:cs="Arial"/>
          <w:b/>
          <w:sz w:val="22"/>
          <w:szCs w:val="22"/>
          <w:lang w:val="fr-FR"/>
        </w:rPr>
        <w:t xml:space="preserve">6456 </w:t>
      </w:r>
      <w:r w:rsidR="00E9303F" w:rsidRPr="00DD03C7">
        <w:rPr>
          <w:rFonts w:ascii="Arial" w:hAnsi="Arial" w:cs="Arial"/>
          <w:b/>
          <w:bCs/>
          <w:color w:val="221E1F"/>
          <w:sz w:val="22"/>
          <w:szCs w:val="22"/>
          <w:lang w:val="fr-LU"/>
        </w:rPr>
        <w:t>sur le secteur des assurances</w:t>
      </w:r>
    </w:p>
    <w:p w:rsidR="005708F2" w:rsidRPr="00B84DD3" w:rsidRDefault="005708F2" w:rsidP="00DD03C7">
      <w:pPr>
        <w:pStyle w:val="Sansinterligne"/>
        <w:ind w:right="43"/>
        <w:rPr>
          <w:rFonts w:ascii="Arial" w:eastAsia="Times New Roman" w:hAnsi="Arial" w:cs="Arial"/>
          <w:b/>
          <w:lang w:val="fr-LU"/>
        </w:rPr>
      </w:pPr>
    </w:p>
    <w:p w:rsidR="00E96F00" w:rsidRPr="00E96F00" w:rsidRDefault="00785716" w:rsidP="009710A2">
      <w:pPr>
        <w:pStyle w:val="Sansinterligne"/>
        <w:ind w:right="43"/>
        <w:jc w:val="both"/>
        <w:rPr>
          <w:rFonts w:ascii="Arial" w:hAnsi="Arial" w:cs="Arial"/>
          <w:sz w:val="22"/>
          <w:szCs w:val="22"/>
          <w:lang w:val="fr-FR"/>
        </w:rPr>
      </w:pPr>
      <w:r w:rsidRPr="00E96F00">
        <w:rPr>
          <w:rFonts w:ascii="Arial" w:hAnsi="Arial" w:cs="Arial"/>
          <w:sz w:val="22"/>
          <w:szCs w:val="22"/>
          <w:lang w:val="fr-FR"/>
        </w:rPr>
        <w:t>Le projet de loi sous rubrique a pour objectif de transposer en droit national la directive 2009/138/CE du Parlement européen et du Conseil du 25 novembre 2009 sur l’accès aux activités de l’assurance et de la réassurance et leur exe</w:t>
      </w:r>
      <w:r w:rsidR="0016759E" w:rsidRPr="00E96F00">
        <w:rPr>
          <w:rFonts w:ascii="Arial" w:hAnsi="Arial" w:cs="Arial"/>
          <w:sz w:val="22"/>
          <w:szCs w:val="22"/>
          <w:lang w:val="fr-FR"/>
        </w:rPr>
        <w:t>rcice, communément appelée « </w:t>
      </w:r>
      <w:r w:rsidR="0016759E" w:rsidRPr="00E96F00">
        <w:rPr>
          <w:rFonts w:ascii="Arial" w:hAnsi="Arial" w:cs="Arial"/>
          <w:bCs/>
          <w:sz w:val="22"/>
          <w:szCs w:val="22"/>
          <w:lang w:val="fr-FR"/>
        </w:rPr>
        <w:t>directive Solvabilité I</w:t>
      </w:r>
      <w:r w:rsidR="0016759E" w:rsidRPr="00E96F00">
        <w:rPr>
          <w:rFonts w:ascii="Arial" w:hAnsi="Arial" w:cs="Arial"/>
          <w:sz w:val="22"/>
          <w:szCs w:val="22"/>
          <w:lang w:val="fr-FR"/>
        </w:rPr>
        <w:t>I ».</w:t>
      </w:r>
    </w:p>
    <w:p w:rsidR="00E96F00" w:rsidRPr="00E96F00" w:rsidRDefault="00E96F00" w:rsidP="009710A2">
      <w:pPr>
        <w:pStyle w:val="Sansinterligne"/>
        <w:ind w:right="43"/>
        <w:jc w:val="both"/>
        <w:rPr>
          <w:rFonts w:ascii="Arial" w:hAnsi="Arial" w:cs="Arial"/>
          <w:sz w:val="22"/>
          <w:szCs w:val="22"/>
          <w:lang w:val="fr-FR"/>
        </w:rPr>
      </w:pPr>
    </w:p>
    <w:p w:rsidR="00E96F00" w:rsidRPr="00E96F00" w:rsidRDefault="00E96F00" w:rsidP="009710A2">
      <w:pPr>
        <w:pStyle w:val="Sansinterligne"/>
        <w:ind w:right="43"/>
        <w:jc w:val="both"/>
        <w:rPr>
          <w:rFonts w:ascii="Arial" w:hAnsi="Arial" w:cs="Arial"/>
          <w:sz w:val="22"/>
          <w:szCs w:val="22"/>
          <w:lang w:val="fr-FR"/>
        </w:rPr>
      </w:pPr>
      <w:r w:rsidRPr="00E96F00">
        <w:rPr>
          <w:rFonts w:ascii="Arial" w:eastAsia="MS Mincho" w:hAnsi="Arial" w:cs="Arial"/>
          <w:sz w:val="22"/>
          <w:szCs w:val="22"/>
          <w:lang w:val="fr-FR"/>
        </w:rPr>
        <w:t xml:space="preserve">Alors même qu’au fil des ans de nombreux textes sont venus enrichir le dispositif de surveillance des entreprises d’assurance et de réassurance, le cœur même de ce dispositif de surveillance, à savoir les exigences de capital et le processus de surveillance, remontait </w:t>
      </w:r>
      <w:r w:rsidR="009506BC">
        <w:rPr>
          <w:rFonts w:ascii="Arial" w:eastAsia="MS Mincho" w:hAnsi="Arial" w:cs="Arial"/>
          <w:sz w:val="22"/>
          <w:szCs w:val="22"/>
          <w:lang w:val="fr-FR"/>
        </w:rPr>
        <w:t xml:space="preserve">dans le passé </w:t>
      </w:r>
      <w:r w:rsidRPr="00E96F00">
        <w:rPr>
          <w:rFonts w:ascii="Arial" w:eastAsia="MS Mincho" w:hAnsi="Arial" w:cs="Arial"/>
          <w:sz w:val="22"/>
          <w:szCs w:val="22"/>
          <w:lang w:val="fr-FR"/>
        </w:rPr>
        <w:t>pour l’essentiel aux directives 73/239/CEE pour l’assurance non vie et 79/267/CEE pour l’assurance vie.</w:t>
      </w:r>
      <w:r w:rsidR="00E51327">
        <w:rPr>
          <w:rFonts w:ascii="Arial" w:eastAsia="MS Mincho" w:hAnsi="Arial" w:cs="Arial"/>
          <w:sz w:val="22"/>
          <w:szCs w:val="22"/>
          <w:lang w:val="fr-FR"/>
        </w:rPr>
        <w:t xml:space="preserve"> </w:t>
      </w:r>
      <w:r w:rsidRPr="00E96F00">
        <w:rPr>
          <w:rFonts w:ascii="Arial" w:eastAsia="MS Mincho" w:hAnsi="Arial" w:cs="Arial"/>
          <w:sz w:val="22"/>
          <w:szCs w:val="22"/>
          <w:lang w:val="fr-FR"/>
        </w:rPr>
        <w:t>Or, à</w:t>
      </w:r>
      <w:r w:rsidR="007E1FC4" w:rsidRPr="00E96F00">
        <w:rPr>
          <w:rFonts w:ascii="Arial" w:eastAsia="MS Mincho" w:hAnsi="Arial" w:cs="Arial"/>
          <w:sz w:val="22"/>
          <w:szCs w:val="22"/>
          <w:lang w:val="fr-FR"/>
        </w:rPr>
        <w:t xml:space="preserve"> l’occasion de la révision des normes de capital entreprise au début des années 2000, il est apparu que ce régime simple ne répondait plus aux risques réellement encourus par les assureurs et réassureurs. D’une part</w:t>
      </w:r>
      <w:r w:rsidR="001C3A8B">
        <w:rPr>
          <w:rFonts w:ascii="Arial" w:eastAsia="MS Mincho" w:hAnsi="Arial" w:cs="Arial"/>
          <w:sz w:val="22"/>
          <w:szCs w:val="22"/>
          <w:lang w:val="fr-FR"/>
        </w:rPr>
        <w:t>,</w:t>
      </w:r>
      <w:r w:rsidR="007E1FC4" w:rsidRPr="00E96F00">
        <w:rPr>
          <w:rFonts w:ascii="Arial" w:eastAsia="MS Mincho" w:hAnsi="Arial" w:cs="Arial"/>
          <w:sz w:val="22"/>
          <w:szCs w:val="22"/>
          <w:lang w:val="fr-FR"/>
        </w:rPr>
        <w:t xml:space="preserve"> la définition d’une exigence </w:t>
      </w:r>
      <w:r w:rsidR="00541AF7">
        <w:rPr>
          <w:rFonts w:ascii="Arial" w:eastAsia="MS Mincho" w:hAnsi="Arial" w:cs="Arial"/>
          <w:sz w:val="22"/>
          <w:szCs w:val="22"/>
          <w:lang w:val="fr-FR"/>
        </w:rPr>
        <w:t xml:space="preserve">en capital </w:t>
      </w:r>
      <w:r w:rsidR="007E1FC4" w:rsidRPr="00E96F00">
        <w:rPr>
          <w:rFonts w:ascii="Arial" w:eastAsia="MS Mincho" w:hAnsi="Arial" w:cs="Arial"/>
          <w:sz w:val="22"/>
          <w:szCs w:val="22"/>
          <w:lang w:val="fr-FR"/>
        </w:rPr>
        <w:t>basée uniquement sur les primes, les sinistres et</w:t>
      </w:r>
      <w:r w:rsidRPr="00E96F00">
        <w:rPr>
          <w:rFonts w:ascii="Arial" w:eastAsia="MS Mincho" w:hAnsi="Arial" w:cs="Arial"/>
          <w:sz w:val="22"/>
          <w:szCs w:val="22"/>
          <w:lang w:val="fr-FR"/>
        </w:rPr>
        <w:t xml:space="preserve"> les provisions techniques prenait</w:t>
      </w:r>
      <w:r w:rsidR="007E1FC4" w:rsidRPr="00E96F00">
        <w:rPr>
          <w:rFonts w:ascii="Arial" w:eastAsia="MS Mincho" w:hAnsi="Arial" w:cs="Arial"/>
          <w:sz w:val="22"/>
          <w:szCs w:val="22"/>
          <w:lang w:val="fr-FR"/>
        </w:rPr>
        <w:t xml:space="preserve"> en compte le seul risque résultant de la souscription de contrats d’assurance, alors que la nécessité pour les assureurs d’investir à long terme</w:t>
      </w:r>
      <w:r w:rsidRPr="00E96F00">
        <w:rPr>
          <w:rFonts w:ascii="Arial" w:eastAsia="MS Mincho" w:hAnsi="Arial" w:cs="Arial"/>
          <w:sz w:val="22"/>
          <w:szCs w:val="22"/>
          <w:lang w:val="fr-FR"/>
        </w:rPr>
        <w:t xml:space="preserve"> les primes récoltées les exposait</w:t>
      </w:r>
      <w:r w:rsidR="007E1FC4" w:rsidRPr="00E96F00">
        <w:rPr>
          <w:rFonts w:ascii="Arial" w:eastAsia="MS Mincho" w:hAnsi="Arial" w:cs="Arial"/>
          <w:sz w:val="22"/>
          <w:szCs w:val="22"/>
          <w:lang w:val="fr-FR"/>
        </w:rPr>
        <w:t xml:space="preserve"> également à des risques de marché considérables ainsi qu’à des risques de contrepartie. </w:t>
      </w:r>
      <w:r w:rsidRPr="00E96F00">
        <w:rPr>
          <w:rFonts w:ascii="Arial" w:eastAsia="MS Mincho" w:hAnsi="Arial" w:cs="Arial"/>
          <w:sz w:val="22"/>
          <w:szCs w:val="22"/>
          <w:lang w:val="fr-FR"/>
        </w:rPr>
        <w:t>D’autre part,</w:t>
      </w:r>
      <w:r w:rsidR="007E1FC4" w:rsidRPr="00E96F00">
        <w:rPr>
          <w:rFonts w:ascii="Arial" w:eastAsia="MS Mincho" w:hAnsi="Arial" w:cs="Arial"/>
          <w:sz w:val="22"/>
          <w:szCs w:val="22"/>
          <w:lang w:val="fr-FR"/>
        </w:rPr>
        <w:t xml:space="preserve"> dans d’autres secteurs des services financiers, telles les banques, l’idée de transformer une approche basée uniquement sur des règles forfaitaires en une approche basée sur le risque individuel de chaque entreprise avait déjà fait son chemin. Une modernisation du calcul de l’exigence des fonds propres des assureurs et réassureurs, prenant en compte l’ensemble des risques, semblait dès lors hautement souhaitable. </w:t>
      </w:r>
    </w:p>
    <w:p w:rsidR="00E96F00" w:rsidRPr="00E96F00" w:rsidRDefault="00E96F00" w:rsidP="009710A2">
      <w:pPr>
        <w:pStyle w:val="Sansinterligne"/>
        <w:ind w:right="43"/>
        <w:jc w:val="both"/>
        <w:rPr>
          <w:rFonts w:ascii="Arial" w:hAnsi="Arial" w:cs="Arial"/>
          <w:sz w:val="22"/>
          <w:szCs w:val="22"/>
          <w:lang w:val="fr-FR"/>
        </w:rPr>
      </w:pPr>
    </w:p>
    <w:p w:rsidR="00E96F00" w:rsidRPr="00E96F00" w:rsidRDefault="0016759E" w:rsidP="009710A2">
      <w:pPr>
        <w:pStyle w:val="Sansinterligne"/>
        <w:ind w:right="43"/>
        <w:jc w:val="both"/>
        <w:rPr>
          <w:rFonts w:ascii="Arial" w:hAnsi="Arial" w:cs="Arial"/>
          <w:sz w:val="22"/>
          <w:szCs w:val="22"/>
          <w:lang w:val="fr-FR"/>
        </w:rPr>
      </w:pPr>
      <w:r w:rsidRPr="00E96F00">
        <w:rPr>
          <w:rFonts w:ascii="Arial" w:hAnsi="Arial" w:cs="Arial"/>
          <w:sz w:val="22"/>
          <w:szCs w:val="22"/>
          <w:lang w:val="fr-FR"/>
        </w:rPr>
        <w:t>Alors que, sous l</w:t>
      </w:r>
      <w:r w:rsidR="00541AF7">
        <w:rPr>
          <w:rFonts w:ascii="Arial" w:hAnsi="Arial" w:cs="Arial"/>
          <w:sz w:val="22"/>
          <w:szCs w:val="22"/>
          <w:lang w:val="fr-FR"/>
        </w:rPr>
        <w:t>e régime de surveillance dit « S</w:t>
      </w:r>
      <w:r w:rsidRPr="00E96F00">
        <w:rPr>
          <w:rFonts w:ascii="Arial" w:hAnsi="Arial" w:cs="Arial"/>
          <w:sz w:val="22"/>
          <w:szCs w:val="22"/>
          <w:lang w:val="fr-FR"/>
        </w:rPr>
        <w:t>olvabilité I », toutes les entreprises se trouvant dans une situation comparable étaient soumises aux mêmes rè</w:t>
      </w:r>
      <w:r w:rsidR="00541AF7">
        <w:rPr>
          <w:rFonts w:ascii="Arial" w:hAnsi="Arial" w:cs="Arial"/>
          <w:sz w:val="22"/>
          <w:szCs w:val="22"/>
          <w:lang w:val="fr-FR"/>
        </w:rPr>
        <w:t>gles, le nouveau système dit « S</w:t>
      </w:r>
      <w:r w:rsidRPr="00E96F00">
        <w:rPr>
          <w:rFonts w:ascii="Arial" w:hAnsi="Arial" w:cs="Arial"/>
          <w:sz w:val="22"/>
          <w:szCs w:val="22"/>
          <w:lang w:val="fr-FR"/>
        </w:rPr>
        <w:t>olvabilité II » introduit par la directive</w:t>
      </w:r>
      <w:r w:rsidR="00E51327">
        <w:rPr>
          <w:rFonts w:ascii="Arial" w:hAnsi="Arial" w:cs="Arial"/>
          <w:sz w:val="22"/>
          <w:szCs w:val="22"/>
          <w:lang w:val="fr-FR"/>
        </w:rPr>
        <w:t xml:space="preserve"> </w:t>
      </w:r>
      <w:r w:rsidR="00FF7F6B">
        <w:rPr>
          <w:rFonts w:ascii="Arial" w:hAnsi="Arial" w:cs="Arial"/>
          <w:sz w:val="22"/>
          <w:szCs w:val="22"/>
          <w:lang w:val="fr-FR"/>
        </w:rPr>
        <w:t>2009/138/CE</w:t>
      </w:r>
      <w:r w:rsidRPr="00E96F00">
        <w:rPr>
          <w:rFonts w:ascii="Arial" w:hAnsi="Arial" w:cs="Arial"/>
          <w:sz w:val="22"/>
          <w:szCs w:val="22"/>
          <w:lang w:val="fr-FR"/>
        </w:rPr>
        <w:t xml:space="preserve"> vise à prendre en compte l’exposition </w:t>
      </w:r>
      <w:r w:rsidR="00364D5C">
        <w:rPr>
          <w:rFonts w:ascii="Arial" w:hAnsi="Arial" w:cs="Arial"/>
          <w:sz w:val="22"/>
          <w:szCs w:val="22"/>
          <w:lang w:val="fr-FR"/>
        </w:rPr>
        <w:t xml:space="preserve">spécifique </w:t>
      </w:r>
      <w:r w:rsidRPr="00E96F00">
        <w:rPr>
          <w:rFonts w:ascii="Arial" w:hAnsi="Arial" w:cs="Arial"/>
          <w:sz w:val="22"/>
          <w:szCs w:val="22"/>
          <w:lang w:val="fr-FR"/>
        </w:rPr>
        <w:t>aux risques encouru</w:t>
      </w:r>
      <w:r w:rsidR="00FF7F6B">
        <w:rPr>
          <w:rFonts w:ascii="Arial" w:hAnsi="Arial" w:cs="Arial"/>
          <w:sz w:val="22"/>
          <w:szCs w:val="22"/>
          <w:lang w:val="fr-FR"/>
        </w:rPr>
        <w:t>s</w:t>
      </w:r>
      <w:r w:rsidRPr="00E96F00">
        <w:rPr>
          <w:rFonts w:ascii="Arial" w:hAnsi="Arial" w:cs="Arial"/>
          <w:sz w:val="22"/>
          <w:szCs w:val="22"/>
          <w:lang w:val="fr-FR"/>
        </w:rPr>
        <w:t xml:space="preserve"> par l</w:t>
      </w:r>
      <w:r w:rsidR="00364D5C">
        <w:rPr>
          <w:rFonts w:ascii="Arial" w:hAnsi="Arial" w:cs="Arial"/>
          <w:sz w:val="22"/>
          <w:szCs w:val="22"/>
          <w:lang w:val="fr-FR"/>
        </w:rPr>
        <w:t>’</w:t>
      </w:r>
      <w:r w:rsidRPr="00E96F00">
        <w:rPr>
          <w:rFonts w:ascii="Arial" w:hAnsi="Arial" w:cs="Arial"/>
          <w:sz w:val="22"/>
          <w:szCs w:val="22"/>
          <w:lang w:val="fr-FR"/>
        </w:rPr>
        <w:t>entreprise d’assurance</w:t>
      </w:r>
      <w:r w:rsidR="00364D5C">
        <w:rPr>
          <w:rFonts w:ascii="Arial" w:hAnsi="Arial" w:cs="Arial"/>
          <w:sz w:val="22"/>
          <w:szCs w:val="22"/>
          <w:lang w:val="fr-FR"/>
        </w:rPr>
        <w:t xml:space="preserve"> et de réassurance</w:t>
      </w:r>
      <w:r w:rsidRPr="00E96F00">
        <w:rPr>
          <w:rFonts w:ascii="Arial" w:hAnsi="Arial" w:cs="Arial"/>
          <w:sz w:val="22"/>
          <w:szCs w:val="22"/>
          <w:lang w:val="fr-FR"/>
        </w:rPr>
        <w:t xml:space="preserve">. Ce tournant présente un réel changement de paradigme. </w:t>
      </w:r>
      <w:r w:rsidR="009506BC">
        <w:rPr>
          <w:rFonts w:ascii="Arial" w:hAnsi="Arial" w:cs="Arial"/>
          <w:sz w:val="22"/>
          <w:szCs w:val="22"/>
          <w:lang w:val="fr-FR"/>
        </w:rPr>
        <w:t>Le nouveau régime S</w:t>
      </w:r>
      <w:r w:rsidRPr="00E96F00">
        <w:rPr>
          <w:rFonts w:ascii="Arial" w:hAnsi="Arial" w:cs="Arial"/>
          <w:sz w:val="22"/>
          <w:szCs w:val="22"/>
          <w:lang w:val="fr-FR"/>
        </w:rPr>
        <w:t xml:space="preserve">olvabilité II entend </w:t>
      </w:r>
      <w:r w:rsidR="009506BC">
        <w:rPr>
          <w:rFonts w:ascii="Arial" w:hAnsi="Arial" w:cs="Arial"/>
          <w:sz w:val="22"/>
          <w:szCs w:val="22"/>
          <w:lang w:val="fr-FR"/>
        </w:rPr>
        <w:t xml:space="preserve">également </w:t>
      </w:r>
      <w:r w:rsidRPr="00E96F00">
        <w:rPr>
          <w:rFonts w:ascii="Arial" w:hAnsi="Arial" w:cs="Arial"/>
          <w:sz w:val="22"/>
          <w:szCs w:val="22"/>
          <w:lang w:val="fr-FR"/>
        </w:rPr>
        <w:t>refondre le cadre de surveillance prudentielle du secteur de l’assurance en se substituent au régime antérieur issu de directives communautaires afférentes des années 70. Tout en maintenant un niveau élevé de protection des preneurs d’assurance et des béné</w:t>
      </w:r>
      <w:r w:rsidR="00CD55A2">
        <w:rPr>
          <w:rFonts w:ascii="Arial" w:hAnsi="Arial" w:cs="Arial"/>
          <w:sz w:val="22"/>
          <w:szCs w:val="22"/>
          <w:lang w:val="fr-FR"/>
        </w:rPr>
        <w:t xml:space="preserve">ficiaires, le nouveau régime </w:t>
      </w:r>
      <w:r w:rsidRPr="00E96F00">
        <w:rPr>
          <w:rFonts w:ascii="Arial" w:hAnsi="Arial" w:cs="Arial"/>
          <w:sz w:val="22"/>
          <w:szCs w:val="22"/>
          <w:lang w:val="fr-FR"/>
        </w:rPr>
        <w:t xml:space="preserve">vise, à l’instar des règles applicables dans le secteur </w:t>
      </w:r>
      <w:r w:rsidR="00364D5C">
        <w:rPr>
          <w:rFonts w:ascii="Arial" w:hAnsi="Arial" w:cs="Arial"/>
          <w:sz w:val="22"/>
          <w:szCs w:val="22"/>
          <w:lang w:val="fr-FR"/>
        </w:rPr>
        <w:t>bancaire</w:t>
      </w:r>
      <w:r w:rsidRPr="00E96F00">
        <w:rPr>
          <w:rFonts w:ascii="Arial" w:hAnsi="Arial" w:cs="Arial"/>
          <w:sz w:val="22"/>
          <w:szCs w:val="22"/>
          <w:lang w:val="fr-FR"/>
        </w:rPr>
        <w:t>, à moderniser les exigences prudentielles et à harmoniser le</w:t>
      </w:r>
      <w:r w:rsidR="00E96F00" w:rsidRPr="00E96F00">
        <w:rPr>
          <w:rFonts w:ascii="Arial" w:hAnsi="Arial" w:cs="Arial"/>
          <w:sz w:val="22"/>
          <w:szCs w:val="22"/>
          <w:lang w:val="fr-FR"/>
        </w:rPr>
        <w:t xml:space="preserve"> cadre européen de l’assurance.</w:t>
      </w:r>
    </w:p>
    <w:p w:rsidR="00E96F00" w:rsidRPr="00E96F00" w:rsidRDefault="00E96F00" w:rsidP="009710A2">
      <w:pPr>
        <w:pStyle w:val="Sansinterligne"/>
        <w:ind w:right="43"/>
        <w:jc w:val="both"/>
        <w:rPr>
          <w:rFonts w:ascii="Arial" w:hAnsi="Arial" w:cs="Arial"/>
          <w:sz w:val="22"/>
          <w:szCs w:val="22"/>
          <w:lang w:val="fr-FR"/>
        </w:rPr>
      </w:pPr>
    </w:p>
    <w:p w:rsidR="00E96F00" w:rsidRPr="00E96F00" w:rsidRDefault="0016759E" w:rsidP="009710A2">
      <w:pPr>
        <w:pStyle w:val="Sansinterligne"/>
        <w:ind w:right="43"/>
        <w:jc w:val="both"/>
        <w:rPr>
          <w:rFonts w:ascii="Arial" w:hAnsi="Arial" w:cs="Arial"/>
          <w:sz w:val="22"/>
          <w:szCs w:val="22"/>
          <w:lang w:val="fr-FR"/>
        </w:rPr>
      </w:pPr>
      <w:r w:rsidRPr="00E96F00">
        <w:rPr>
          <w:rFonts w:ascii="Arial" w:hAnsi="Arial" w:cs="Arial"/>
          <w:sz w:val="22"/>
          <w:szCs w:val="22"/>
          <w:lang w:val="fr-FR"/>
        </w:rPr>
        <w:t xml:space="preserve">La directive impose par la suite de nouvelles obligations aux entreprises d’assurance. </w:t>
      </w:r>
      <w:r w:rsidR="00E96F00" w:rsidRPr="00E96F00">
        <w:rPr>
          <w:rFonts w:ascii="Arial" w:hAnsi="Arial" w:cs="Arial"/>
          <w:sz w:val="22"/>
          <w:szCs w:val="22"/>
          <w:lang w:val="fr-FR"/>
        </w:rPr>
        <w:t>Il est vrai que l</w:t>
      </w:r>
      <w:r w:rsidR="00E96F00" w:rsidRPr="00E96F00">
        <w:rPr>
          <w:rFonts w:ascii="Arial" w:eastAsia="MS Mincho" w:hAnsi="Arial" w:cs="Arial"/>
          <w:sz w:val="22"/>
          <w:szCs w:val="22"/>
          <w:lang w:val="fr-FR"/>
        </w:rPr>
        <w:t xml:space="preserve">es entreprises devront adopter une vision beaucoup plus détaillée et surtout exhaustive des risques auxquels elles sont exposées, développer des modèles économiques et mathématiques leur permettant une évaluation </w:t>
      </w:r>
      <w:r w:rsidR="00364D5C">
        <w:rPr>
          <w:rFonts w:ascii="Arial" w:eastAsia="MS Mincho" w:hAnsi="Arial" w:cs="Arial"/>
          <w:sz w:val="22"/>
          <w:szCs w:val="22"/>
          <w:lang w:val="fr-FR"/>
        </w:rPr>
        <w:t>réaliste</w:t>
      </w:r>
      <w:r w:rsidR="00E96F00" w:rsidRPr="00E96F00">
        <w:rPr>
          <w:rFonts w:ascii="Arial" w:eastAsia="MS Mincho" w:hAnsi="Arial" w:cs="Arial"/>
          <w:sz w:val="22"/>
          <w:szCs w:val="22"/>
          <w:lang w:val="fr-FR"/>
        </w:rPr>
        <w:t xml:space="preserve"> de ces risques et des moyens financiers permettant d’y faire face, adapter régulièrement leurs capitaux minima et de solvabilité aux risques effectivement courus, se doter de règles de contrôle internes et externes précises, se soumettre à des règles plus contraignantes en matière de gouvernance interne et rapporter aux autorités de surveillance d’une manière autrement plus extensive et plus fréquente que par le passé sur l’ensemble de leurs activités. </w:t>
      </w:r>
    </w:p>
    <w:p w:rsidR="00E96F00" w:rsidRPr="00E96F00" w:rsidRDefault="00E96F00" w:rsidP="009710A2">
      <w:pPr>
        <w:pStyle w:val="Sansinterligne"/>
        <w:ind w:right="43"/>
        <w:jc w:val="both"/>
        <w:rPr>
          <w:rFonts w:ascii="Arial" w:hAnsi="Arial" w:cs="Arial"/>
          <w:sz w:val="22"/>
          <w:szCs w:val="22"/>
          <w:lang w:val="fr-FR"/>
        </w:rPr>
      </w:pPr>
    </w:p>
    <w:p w:rsidR="00E96F00" w:rsidRPr="00CD55A2" w:rsidRDefault="00E96F00" w:rsidP="009710A2">
      <w:pPr>
        <w:widowControl w:val="0"/>
        <w:autoSpaceDE w:val="0"/>
        <w:autoSpaceDN w:val="0"/>
        <w:adjustRightInd w:val="0"/>
        <w:spacing w:after="240"/>
        <w:ind w:right="43"/>
        <w:jc w:val="both"/>
        <w:rPr>
          <w:rFonts w:ascii="Arial" w:eastAsia="MS Mincho" w:hAnsi="Arial" w:cs="Arial"/>
          <w:sz w:val="22"/>
          <w:szCs w:val="22"/>
          <w:lang w:val="fr-FR"/>
        </w:rPr>
      </w:pPr>
      <w:r w:rsidRPr="00E96F00">
        <w:rPr>
          <w:rFonts w:ascii="Arial" w:eastAsia="MS Mincho" w:hAnsi="Arial" w:cs="Arial"/>
          <w:sz w:val="22"/>
          <w:szCs w:val="22"/>
          <w:lang w:val="fr-FR"/>
        </w:rPr>
        <w:t>Le rôle d</w:t>
      </w:r>
      <w:r w:rsidR="00364D5C">
        <w:rPr>
          <w:rFonts w:ascii="Arial" w:eastAsia="MS Mincho" w:hAnsi="Arial" w:cs="Arial"/>
          <w:sz w:val="22"/>
          <w:szCs w:val="22"/>
          <w:lang w:val="fr-FR"/>
        </w:rPr>
        <w:t>u Commissariat aux Assurances</w:t>
      </w:r>
      <w:r w:rsidRPr="00E96F00">
        <w:rPr>
          <w:rFonts w:ascii="Arial" w:eastAsia="MS Mincho" w:hAnsi="Arial" w:cs="Arial"/>
          <w:sz w:val="22"/>
          <w:szCs w:val="22"/>
          <w:lang w:val="fr-FR"/>
        </w:rPr>
        <w:t xml:space="preserve"> changera également</w:t>
      </w:r>
      <w:r w:rsidR="00364D5C">
        <w:rPr>
          <w:rFonts w:ascii="Arial" w:eastAsia="MS Mincho" w:hAnsi="Arial" w:cs="Arial"/>
          <w:sz w:val="22"/>
          <w:szCs w:val="22"/>
          <w:lang w:val="fr-FR"/>
        </w:rPr>
        <w:t xml:space="preserve"> en ce qu’il </w:t>
      </w:r>
      <w:r w:rsidRPr="00E96F00">
        <w:rPr>
          <w:rFonts w:ascii="Arial" w:eastAsia="MS Mincho" w:hAnsi="Arial" w:cs="Arial"/>
          <w:sz w:val="22"/>
          <w:szCs w:val="22"/>
          <w:lang w:val="fr-FR"/>
        </w:rPr>
        <w:t>devr</w:t>
      </w:r>
      <w:r w:rsidR="00364D5C">
        <w:rPr>
          <w:rFonts w:ascii="Arial" w:eastAsia="MS Mincho" w:hAnsi="Arial" w:cs="Arial"/>
          <w:sz w:val="22"/>
          <w:szCs w:val="22"/>
          <w:lang w:val="fr-FR"/>
        </w:rPr>
        <w:t>a</w:t>
      </w:r>
      <w:r w:rsidRPr="00E96F00">
        <w:rPr>
          <w:rFonts w:ascii="Arial" w:eastAsia="MS Mincho" w:hAnsi="Arial" w:cs="Arial"/>
          <w:sz w:val="22"/>
          <w:szCs w:val="22"/>
          <w:lang w:val="fr-FR"/>
        </w:rPr>
        <w:t xml:space="preserve"> acquérir des connaissances </w:t>
      </w:r>
      <w:r w:rsidR="00364D5C">
        <w:rPr>
          <w:rFonts w:ascii="Arial" w:eastAsia="MS Mincho" w:hAnsi="Arial" w:cs="Arial"/>
          <w:sz w:val="22"/>
          <w:szCs w:val="22"/>
          <w:lang w:val="fr-FR"/>
        </w:rPr>
        <w:t xml:space="preserve">encore plus </w:t>
      </w:r>
      <w:r w:rsidRPr="00E96F00">
        <w:rPr>
          <w:rFonts w:ascii="Arial" w:eastAsia="MS Mincho" w:hAnsi="Arial" w:cs="Arial"/>
          <w:sz w:val="22"/>
          <w:szCs w:val="22"/>
          <w:lang w:val="fr-FR"/>
        </w:rPr>
        <w:t xml:space="preserve">détaillées du fonctionnement de chaque entreprise individuelle, connaître en détail les risques auxquels chaque entreprise est exposée afin d’être en mesure de décider si ces risques sont capturés de manière adéquate par l’approche standard et, dans la négative, de comprendre et de discuter d’égal à égal les modèles internes que les entreprises entendent adopter le cas échéant en vue d’être en mesure de valider ces modèles comme la directive le prescrit. </w:t>
      </w:r>
    </w:p>
    <w:p w:rsidR="00EC6729" w:rsidRPr="00E96F00" w:rsidRDefault="00E96F00" w:rsidP="009710A2">
      <w:pPr>
        <w:widowControl w:val="0"/>
        <w:autoSpaceDE w:val="0"/>
        <w:autoSpaceDN w:val="0"/>
        <w:adjustRightInd w:val="0"/>
        <w:spacing w:after="240"/>
        <w:ind w:right="43"/>
        <w:jc w:val="both"/>
        <w:rPr>
          <w:rFonts w:ascii="Arial" w:eastAsia="MS Mincho" w:hAnsi="Arial" w:cs="Arial"/>
          <w:sz w:val="22"/>
          <w:szCs w:val="22"/>
          <w:lang w:val="fr-FR"/>
        </w:rPr>
      </w:pPr>
      <w:r w:rsidRPr="00E96F00">
        <w:rPr>
          <w:rFonts w:ascii="Arial" w:eastAsia="MS Mincho" w:hAnsi="Arial" w:cs="Arial"/>
          <w:sz w:val="22"/>
          <w:szCs w:val="22"/>
          <w:lang w:val="fr-FR"/>
        </w:rPr>
        <w:lastRenderedPageBreak/>
        <w:t>En bref, S</w:t>
      </w:r>
      <w:r w:rsidR="00EC6729" w:rsidRPr="00E96F00">
        <w:rPr>
          <w:rFonts w:ascii="Arial" w:eastAsia="MS Mincho" w:hAnsi="Arial" w:cs="Arial"/>
          <w:sz w:val="22"/>
          <w:szCs w:val="22"/>
          <w:lang w:val="fr-FR"/>
        </w:rPr>
        <w:t>olvabilité II constitue une réforme en profondeur du paysage normatif et de l’architecture prudentielle du secteur de l’assurance basée sur trois piliers:</w:t>
      </w:r>
    </w:p>
    <w:p w:rsidR="00EC6729" w:rsidRPr="00E96F00" w:rsidRDefault="00EC6729" w:rsidP="009710A2">
      <w:pPr>
        <w:pStyle w:val="Paragraphedeliste"/>
        <w:widowControl w:val="0"/>
        <w:numPr>
          <w:ilvl w:val="0"/>
          <w:numId w:val="35"/>
        </w:numPr>
        <w:autoSpaceDE w:val="0"/>
        <w:autoSpaceDN w:val="0"/>
        <w:adjustRightInd w:val="0"/>
        <w:spacing w:after="240"/>
        <w:ind w:right="43"/>
        <w:jc w:val="both"/>
        <w:rPr>
          <w:rFonts w:ascii="Arial" w:eastAsia="MS Mincho" w:hAnsi="Arial" w:cs="Arial"/>
        </w:rPr>
      </w:pPr>
      <w:r w:rsidRPr="00E96F00">
        <w:rPr>
          <w:rFonts w:ascii="Arial" w:eastAsia="MS Mincho" w:hAnsi="Arial" w:cs="Arial"/>
        </w:rPr>
        <w:t>les exigences quantitatives de calcul des provisions techniques</w:t>
      </w:r>
      <w:r w:rsidR="00364D5C">
        <w:rPr>
          <w:rFonts w:ascii="Arial" w:eastAsia="MS Mincho" w:hAnsi="Arial" w:cs="Arial"/>
        </w:rPr>
        <w:t xml:space="preserve">, de l’exigence en capital </w:t>
      </w:r>
      <w:r w:rsidRPr="00E96F00">
        <w:rPr>
          <w:rFonts w:ascii="Arial" w:eastAsia="MS Mincho" w:hAnsi="Arial" w:cs="Arial"/>
        </w:rPr>
        <w:t xml:space="preserve">et des fonds propres; </w:t>
      </w:r>
    </w:p>
    <w:p w:rsidR="00EC6729" w:rsidRPr="00E96F00" w:rsidRDefault="00EC6729" w:rsidP="009710A2">
      <w:pPr>
        <w:pStyle w:val="Paragraphedeliste"/>
        <w:widowControl w:val="0"/>
        <w:numPr>
          <w:ilvl w:val="0"/>
          <w:numId w:val="35"/>
        </w:numPr>
        <w:autoSpaceDE w:val="0"/>
        <w:autoSpaceDN w:val="0"/>
        <w:adjustRightInd w:val="0"/>
        <w:spacing w:after="240"/>
        <w:ind w:right="43"/>
        <w:jc w:val="both"/>
        <w:rPr>
          <w:rFonts w:ascii="Arial" w:eastAsia="MS Mincho" w:hAnsi="Arial" w:cs="Arial"/>
        </w:rPr>
      </w:pPr>
      <w:r w:rsidRPr="00E96F00">
        <w:rPr>
          <w:rFonts w:ascii="Arial" w:eastAsia="MS Mincho" w:hAnsi="Arial" w:cs="Arial"/>
        </w:rPr>
        <w:t xml:space="preserve">les exigences qualitatives de suivi des risques à travers un système adéquat de gouvernance et de management des risques; </w:t>
      </w:r>
    </w:p>
    <w:p w:rsidR="0016759E" w:rsidRPr="00E96F00" w:rsidRDefault="00EC6729" w:rsidP="009710A2">
      <w:pPr>
        <w:pStyle w:val="Paragraphedeliste"/>
        <w:widowControl w:val="0"/>
        <w:numPr>
          <w:ilvl w:val="0"/>
          <w:numId w:val="35"/>
        </w:numPr>
        <w:autoSpaceDE w:val="0"/>
        <w:autoSpaceDN w:val="0"/>
        <w:adjustRightInd w:val="0"/>
        <w:spacing w:after="240"/>
        <w:ind w:right="43"/>
        <w:jc w:val="both"/>
        <w:rPr>
          <w:rFonts w:ascii="Arial" w:hAnsi="Arial" w:cs="Arial"/>
        </w:rPr>
      </w:pPr>
      <w:r w:rsidRPr="00E96F00">
        <w:rPr>
          <w:rFonts w:ascii="Arial" w:eastAsia="MS Mincho" w:hAnsi="Arial" w:cs="Arial"/>
        </w:rPr>
        <w:t>les exigences d’informations à destination du public et des autorités de contrôle.</w:t>
      </w:r>
    </w:p>
    <w:p w:rsidR="00B239BC" w:rsidRPr="00E96F00" w:rsidRDefault="00E4551E" w:rsidP="009710A2">
      <w:pPr>
        <w:pStyle w:val="Sansinterligne"/>
        <w:ind w:right="43"/>
        <w:jc w:val="both"/>
        <w:rPr>
          <w:rFonts w:ascii="Arial" w:eastAsia="MS Mincho" w:hAnsi="Arial" w:cs="Arial"/>
          <w:sz w:val="22"/>
          <w:szCs w:val="22"/>
          <w:lang w:val="fr-FR"/>
        </w:rPr>
      </w:pPr>
      <w:r>
        <w:rPr>
          <w:rFonts w:ascii="Arial" w:eastAsia="MS Mincho" w:hAnsi="Arial" w:cs="Arial"/>
          <w:sz w:val="22"/>
          <w:szCs w:val="22"/>
          <w:lang w:val="fr-FR"/>
        </w:rPr>
        <w:t xml:space="preserve">En </w:t>
      </w:r>
      <w:r w:rsidR="00364D5C">
        <w:rPr>
          <w:rFonts w:ascii="Arial" w:eastAsia="MS Mincho" w:hAnsi="Arial" w:cs="Arial"/>
          <w:sz w:val="22"/>
          <w:szCs w:val="22"/>
          <w:lang w:val="fr-FR"/>
        </w:rPr>
        <w:t>ce qui concerne</w:t>
      </w:r>
      <w:r>
        <w:rPr>
          <w:rFonts w:ascii="Arial" w:eastAsia="MS Mincho" w:hAnsi="Arial" w:cs="Arial"/>
          <w:sz w:val="22"/>
          <w:szCs w:val="22"/>
          <w:lang w:val="fr-FR"/>
        </w:rPr>
        <w:t xml:space="preserve"> la forme, l</w:t>
      </w:r>
      <w:r w:rsidR="0016759E" w:rsidRPr="00E96F00">
        <w:rPr>
          <w:rFonts w:ascii="Arial" w:eastAsia="MS Mincho" w:hAnsi="Arial" w:cs="Arial"/>
          <w:sz w:val="22"/>
          <w:szCs w:val="22"/>
          <w:lang w:val="fr-FR"/>
        </w:rPr>
        <w:t xml:space="preserve">e projet de loi remplace </w:t>
      </w:r>
      <w:r w:rsidR="009E3DC7" w:rsidRPr="00E96F00">
        <w:rPr>
          <w:rFonts w:ascii="Arial" w:eastAsia="MS Mincho" w:hAnsi="Arial" w:cs="Arial"/>
          <w:sz w:val="22"/>
          <w:szCs w:val="22"/>
          <w:lang w:val="fr-FR"/>
        </w:rPr>
        <w:t>la loi du 6 décembre 1991 sur le secteur des assurances, modifiée à de multiples reprises, par une loi nouvelle présentant une codification unique et cohéren</w:t>
      </w:r>
      <w:r w:rsidR="0016759E" w:rsidRPr="00E96F00">
        <w:rPr>
          <w:rFonts w:ascii="Arial" w:eastAsia="MS Mincho" w:hAnsi="Arial" w:cs="Arial"/>
          <w:sz w:val="22"/>
          <w:szCs w:val="22"/>
          <w:lang w:val="fr-FR"/>
        </w:rPr>
        <w:t>te des textes régissant l’acti</w:t>
      </w:r>
      <w:r w:rsidR="009E3DC7" w:rsidRPr="00E96F00">
        <w:rPr>
          <w:rFonts w:ascii="Arial" w:eastAsia="MS Mincho" w:hAnsi="Arial" w:cs="Arial"/>
          <w:sz w:val="22"/>
          <w:szCs w:val="22"/>
          <w:lang w:val="fr-FR"/>
        </w:rPr>
        <w:t xml:space="preserve">vité d’assurance et de réassurance. De nombreuses dispositions existantes </w:t>
      </w:r>
      <w:r w:rsidR="0016759E" w:rsidRPr="00E96F00">
        <w:rPr>
          <w:rFonts w:ascii="Arial" w:eastAsia="MS Mincho" w:hAnsi="Arial" w:cs="Arial"/>
          <w:sz w:val="22"/>
          <w:szCs w:val="22"/>
          <w:lang w:val="fr-FR"/>
        </w:rPr>
        <w:t>non touchées par la directive sont</w:t>
      </w:r>
      <w:r w:rsidR="009E3DC7" w:rsidRPr="00E96F00">
        <w:rPr>
          <w:rFonts w:ascii="Arial" w:eastAsia="MS Mincho" w:hAnsi="Arial" w:cs="Arial"/>
          <w:sz w:val="22"/>
          <w:szCs w:val="22"/>
          <w:lang w:val="fr-FR"/>
        </w:rPr>
        <w:t xml:space="preserve"> reprises dans le projet de loi, souvent sans changement quant au fond, hormis des adaptations purement textuelles et une mise à jour des références. </w:t>
      </w:r>
    </w:p>
    <w:p w:rsidR="00B239BC" w:rsidRPr="00E96F00" w:rsidRDefault="00B239BC" w:rsidP="009710A2">
      <w:pPr>
        <w:pStyle w:val="Sansinterligne"/>
        <w:ind w:right="43"/>
        <w:jc w:val="both"/>
        <w:rPr>
          <w:rFonts w:ascii="Arial" w:eastAsia="MS Mincho" w:hAnsi="Arial" w:cs="Arial"/>
          <w:sz w:val="22"/>
          <w:szCs w:val="22"/>
          <w:lang w:val="fr-FR"/>
        </w:rPr>
      </w:pPr>
    </w:p>
    <w:p w:rsidR="00364D5C" w:rsidRDefault="00CD55A2" w:rsidP="009710A2">
      <w:pPr>
        <w:pStyle w:val="Sansinterligne"/>
        <w:ind w:right="43"/>
        <w:jc w:val="both"/>
        <w:rPr>
          <w:rFonts w:ascii="Arial" w:eastAsia="MS Mincho" w:hAnsi="Arial" w:cs="Arial"/>
          <w:sz w:val="22"/>
          <w:szCs w:val="22"/>
          <w:lang w:val="fr-FR"/>
        </w:rPr>
      </w:pPr>
      <w:r>
        <w:rPr>
          <w:rFonts w:ascii="Arial" w:eastAsia="MS Mincho" w:hAnsi="Arial" w:cs="Arial"/>
          <w:sz w:val="22"/>
          <w:szCs w:val="22"/>
          <w:lang w:val="fr-FR"/>
        </w:rPr>
        <w:t>Accessoirement à la transposition de la directive précitée, l</w:t>
      </w:r>
      <w:r w:rsidR="00B239BC" w:rsidRPr="00E96F00">
        <w:rPr>
          <w:rFonts w:ascii="Arial" w:eastAsia="MS Mincho" w:hAnsi="Arial" w:cs="Arial"/>
          <w:sz w:val="22"/>
          <w:szCs w:val="22"/>
          <w:lang w:val="fr-FR"/>
        </w:rPr>
        <w:t>es a</w:t>
      </w:r>
      <w:r w:rsidR="00C1377B" w:rsidRPr="00E96F00">
        <w:rPr>
          <w:rFonts w:ascii="Arial" w:eastAsia="MS Mincho" w:hAnsi="Arial" w:cs="Arial"/>
          <w:sz w:val="22"/>
          <w:szCs w:val="22"/>
          <w:lang w:val="fr-FR"/>
        </w:rPr>
        <w:t>mendements</w:t>
      </w:r>
      <w:r w:rsidR="00B239BC" w:rsidRPr="00E96F00">
        <w:rPr>
          <w:rFonts w:ascii="Arial" w:eastAsia="MS Mincho" w:hAnsi="Arial" w:cs="Arial"/>
          <w:sz w:val="22"/>
          <w:szCs w:val="22"/>
          <w:lang w:val="fr-FR"/>
        </w:rPr>
        <w:t xml:space="preserve"> gouvernementaux du 11 mars 2015 </w:t>
      </w:r>
      <w:r w:rsidR="00C1377B" w:rsidRPr="00E96F00">
        <w:rPr>
          <w:rFonts w:ascii="Arial" w:eastAsia="MS Mincho" w:hAnsi="Arial" w:cs="Arial"/>
          <w:sz w:val="22"/>
          <w:szCs w:val="22"/>
          <w:lang w:val="fr-FR"/>
        </w:rPr>
        <w:t xml:space="preserve">visent </w:t>
      </w:r>
    </w:p>
    <w:p w:rsidR="00364D5C" w:rsidRPr="00364D5C" w:rsidRDefault="00C1377B" w:rsidP="00364D5C">
      <w:pPr>
        <w:pStyle w:val="Sansinterligne"/>
        <w:numPr>
          <w:ilvl w:val="0"/>
          <w:numId w:val="37"/>
        </w:numPr>
        <w:ind w:right="43"/>
        <w:jc w:val="both"/>
        <w:rPr>
          <w:rFonts w:ascii="Arial" w:hAnsi="Arial" w:cs="Arial"/>
          <w:sz w:val="22"/>
          <w:szCs w:val="22"/>
          <w:lang w:val="fr-FR"/>
        </w:rPr>
      </w:pPr>
      <w:r w:rsidRPr="00E96F00">
        <w:rPr>
          <w:rFonts w:ascii="Arial" w:eastAsia="MS Mincho" w:hAnsi="Arial" w:cs="Arial"/>
          <w:sz w:val="22"/>
          <w:szCs w:val="22"/>
          <w:lang w:val="fr-FR"/>
        </w:rPr>
        <w:t>à transposer en droit national</w:t>
      </w:r>
      <w:r w:rsidR="00B239BC" w:rsidRPr="00E96F00">
        <w:rPr>
          <w:rFonts w:ascii="Arial" w:eastAsia="MS Mincho" w:hAnsi="Arial" w:cs="Arial"/>
          <w:sz w:val="22"/>
          <w:szCs w:val="22"/>
          <w:lang w:val="fr-FR"/>
        </w:rPr>
        <w:t xml:space="preserve"> </w:t>
      </w:r>
    </w:p>
    <w:p w:rsidR="00364D5C" w:rsidRPr="00364D5C" w:rsidRDefault="00B239BC" w:rsidP="00364D5C">
      <w:pPr>
        <w:pStyle w:val="Sansinterligne"/>
        <w:numPr>
          <w:ilvl w:val="0"/>
          <w:numId w:val="37"/>
        </w:numPr>
        <w:ind w:left="993" w:right="43" w:hanging="284"/>
        <w:jc w:val="both"/>
        <w:rPr>
          <w:rFonts w:ascii="Arial" w:hAnsi="Arial" w:cs="Arial"/>
          <w:sz w:val="22"/>
          <w:szCs w:val="22"/>
          <w:lang w:val="fr-FR"/>
        </w:rPr>
      </w:pPr>
      <w:r w:rsidRPr="00E96F00">
        <w:rPr>
          <w:rFonts w:ascii="Arial" w:eastAsia="MS Mincho" w:hAnsi="Arial" w:cs="Arial"/>
          <w:sz w:val="22"/>
          <w:szCs w:val="22"/>
          <w:lang w:val="fr-FR"/>
        </w:rPr>
        <w:t>la directive 2014/51/UE, dite « Omnibus II »</w:t>
      </w:r>
      <w:r w:rsidR="00C1377B" w:rsidRPr="00E96F00">
        <w:rPr>
          <w:rFonts w:ascii="Arial" w:eastAsia="MS Mincho" w:hAnsi="Arial" w:cs="Arial"/>
          <w:sz w:val="22"/>
          <w:szCs w:val="22"/>
          <w:lang w:val="fr-FR"/>
        </w:rPr>
        <w:t xml:space="preserve"> du Parlement européen et du Conseil du 16 avril 2014 modifiant les directives 2003/71/CE et 2009/138/CE et les règlements (CE) n° 1060/2009, (UE) n° 1094/2010 et (UE) n° 1095/2010 en ce qui concerne les compétences de l’Autorité européenne de surveillance (Autorité européenne des assurances et des pensions professionnelles) et de l’Autorité européenne de surveillance (Autorité européenne des marchés financiers) et </w:t>
      </w:r>
    </w:p>
    <w:p w:rsidR="00364D5C" w:rsidRPr="00364D5C" w:rsidRDefault="00C1377B" w:rsidP="00364D5C">
      <w:pPr>
        <w:pStyle w:val="Sansinterligne"/>
        <w:numPr>
          <w:ilvl w:val="0"/>
          <w:numId w:val="37"/>
        </w:numPr>
        <w:ind w:left="993" w:right="43" w:hanging="284"/>
        <w:jc w:val="both"/>
        <w:rPr>
          <w:rFonts w:ascii="Arial" w:hAnsi="Arial" w:cs="Arial"/>
          <w:sz w:val="22"/>
          <w:szCs w:val="22"/>
          <w:lang w:val="fr-FR"/>
        </w:rPr>
      </w:pPr>
      <w:r w:rsidRPr="00E96F00">
        <w:rPr>
          <w:rFonts w:ascii="Arial" w:eastAsia="MS Mincho" w:hAnsi="Arial" w:cs="Arial"/>
          <w:sz w:val="22"/>
          <w:szCs w:val="22"/>
          <w:lang w:val="fr-FR"/>
        </w:rPr>
        <w:t>la directive 2011/89/UE du Parlement européen et du Conseil du 16 novembre 2011 modifiant les directives 98/78/CE, 2002/87/CE, 2006/48/ CE et 2009/138/CE en ce qui concerne la surveillance complémentaire des entités financières des c</w:t>
      </w:r>
      <w:r w:rsidR="00B239BC" w:rsidRPr="00E96F00">
        <w:rPr>
          <w:rFonts w:ascii="Arial" w:eastAsia="MS Mincho" w:hAnsi="Arial" w:cs="Arial"/>
          <w:sz w:val="22"/>
          <w:szCs w:val="22"/>
          <w:lang w:val="fr-FR"/>
        </w:rPr>
        <w:t>onglomérats financiers</w:t>
      </w:r>
      <w:r w:rsidR="00364D5C">
        <w:rPr>
          <w:rFonts w:ascii="Arial" w:eastAsia="MS Mincho" w:hAnsi="Arial" w:cs="Arial"/>
          <w:sz w:val="22"/>
          <w:szCs w:val="22"/>
          <w:lang w:val="fr-FR"/>
        </w:rPr>
        <w:t> ;</w:t>
      </w:r>
    </w:p>
    <w:p w:rsidR="00C1377B" w:rsidRPr="00E96F00" w:rsidRDefault="00364D5C" w:rsidP="00364D5C">
      <w:pPr>
        <w:pStyle w:val="Sansinterligne"/>
        <w:numPr>
          <w:ilvl w:val="0"/>
          <w:numId w:val="37"/>
        </w:numPr>
        <w:ind w:right="43"/>
        <w:jc w:val="both"/>
        <w:rPr>
          <w:rFonts w:ascii="Arial" w:hAnsi="Arial" w:cs="Arial"/>
          <w:sz w:val="22"/>
          <w:szCs w:val="22"/>
          <w:lang w:val="fr-FR"/>
        </w:rPr>
      </w:pPr>
      <w:r>
        <w:rPr>
          <w:rFonts w:ascii="Arial" w:eastAsia="MS Mincho" w:hAnsi="Arial" w:cs="Arial"/>
          <w:sz w:val="22"/>
          <w:szCs w:val="22"/>
          <w:lang w:val="fr-FR"/>
        </w:rPr>
        <w:t xml:space="preserve">à opérer </w:t>
      </w:r>
      <w:r w:rsidR="00B239BC" w:rsidRPr="00E96F00">
        <w:rPr>
          <w:rFonts w:ascii="Arial" w:eastAsia="MS Mincho" w:hAnsi="Arial" w:cs="Arial"/>
          <w:sz w:val="22"/>
          <w:szCs w:val="22"/>
          <w:lang w:val="fr-FR"/>
        </w:rPr>
        <w:t>une « mise en ligne »</w:t>
      </w:r>
      <w:r w:rsidR="00C1377B" w:rsidRPr="00E96F00">
        <w:rPr>
          <w:rFonts w:ascii="Arial" w:eastAsia="MS Mincho" w:hAnsi="Arial" w:cs="Arial"/>
          <w:sz w:val="22"/>
          <w:szCs w:val="22"/>
          <w:lang w:val="fr-FR"/>
        </w:rPr>
        <w:t xml:space="preserve"> des dispositions concernant les professionnels du secteur de l’assurance et des intermédiaires d’assurances et de réassurances</w:t>
      </w:r>
      <w:r w:rsidR="0060395E">
        <w:rPr>
          <w:rFonts w:ascii="Arial" w:eastAsia="MS Mincho" w:hAnsi="Arial" w:cs="Arial"/>
          <w:sz w:val="22"/>
          <w:szCs w:val="22"/>
          <w:lang w:val="fr-FR"/>
        </w:rPr>
        <w:t xml:space="preserve">, </w:t>
      </w:r>
      <w:r w:rsidR="0060395E">
        <w:rPr>
          <w:rFonts w:ascii="Arial" w:eastAsia="Times New Roman" w:hAnsi="Arial" w:cs="Arial"/>
          <w:sz w:val="22"/>
          <w:szCs w:val="22"/>
          <w:lang w:val="fr-FR"/>
        </w:rPr>
        <w:t xml:space="preserve">contenues dans le projet de loi initial, </w:t>
      </w:r>
      <w:r w:rsidR="0060395E" w:rsidRPr="00E96F00">
        <w:rPr>
          <w:rFonts w:ascii="Arial" w:eastAsia="Times New Roman" w:hAnsi="Arial" w:cs="Arial"/>
          <w:sz w:val="22"/>
          <w:szCs w:val="22"/>
          <w:lang w:val="fr-FR"/>
        </w:rPr>
        <w:t xml:space="preserve">suite </w:t>
      </w:r>
      <w:r w:rsidR="0060395E">
        <w:rPr>
          <w:rFonts w:ascii="Arial" w:eastAsia="Times New Roman" w:hAnsi="Arial" w:cs="Arial"/>
          <w:sz w:val="22"/>
          <w:szCs w:val="22"/>
          <w:lang w:val="fr-FR"/>
        </w:rPr>
        <w:t>aux diverses modifications apportées aux dispositions identiques intervenues au cours de la procédure législative ayant mené</w:t>
      </w:r>
      <w:r w:rsidR="00C1377B" w:rsidRPr="00E96F00">
        <w:rPr>
          <w:rFonts w:ascii="Arial" w:eastAsia="MS Mincho" w:hAnsi="Arial" w:cs="Arial"/>
          <w:sz w:val="22"/>
          <w:szCs w:val="22"/>
          <w:lang w:val="fr-FR"/>
        </w:rPr>
        <w:t xml:space="preserve"> à l’adoption de la loi du 12 juill</w:t>
      </w:r>
      <w:r w:rsidR="00B239BC" w:rsidRPr="00E96F00">
        <w:rPr>
          <w:rFonts w:ascii="Arial" w:eastAsia="MS Mincho" w:hAnsi="Arial" w:cs="Arial"/>
          <w:sz w:val="22"/>
          <w:szCs w:val="22"/>
          <w:lang w:val="fr-FR"/>
        </w:rPr>
        <w:t xml:space="preserve">et 2013 portant modification de a) </w:t>
      </w:r>
      <w:r w:rsidR="00C1377B" w:rsidRPr="00E96F00">
        <w:rPr>
          <w:rFonts w:ascii="Arial" w:eastAsia="MS Mincho" w:hAnsi="Arial" w:cs="Arial"/>
          <w:sz w:val="22"/>
          <w:szCs w:val="22"/>
          <w:lang w:val="fr-FR"/>
        </w:rPr>
        <w:t>la loi modifiée du 6 décembre 199</w:t>
      </w:r>
      <w:r w:rsidR="00B239BC" w:rsidRPr="00E96F00">
        <w:rPr>
          <w:rFonts w:ascii="Arial" w:eastAsia="MS Mincho" w:hAnsi="Arial" w:cs="Arial"/>
          <w:sz w:val="22"/>
          <w:szCs w:val="22"/>
          <w:lang w:val="fr-FR"/>
        </w:rPr>
        <w:t xml:space="preserve">1 sur le secteur des assurances, et de b) </w:t>
      </w:r>
      <w:r w:rsidR="00C1377B" w:rsidRPr="00E96F00">
        <w:rPr>
          <w:rFonts w:ascii="Arial" w:eastAsia="MS Mincho" w:hAnsi="Arial" w:cs="Arial"/>
          <w:sz w:val="22"/>
          <w:szCs w:val="22"/>
          <w:lang w:val="fr-FR"/>
        </w:rPr>
        <w:t>la loi modifiée du 12 novembre 2004 rela</w:t>
      </w:r>
      <w:r w:rsidR="00B239BC" w:rsidRPr="00E96F00">
        <w:rPr>
          <w:rFonts w:ascii="Arial" w:eastAsia="MS Mincho" w:hAnsi="Arial" w:cs="Arial"/>
          <w:sz w:val="22"/>
          <w:szCs w:val="22"/>
          <w:lang w:val="fr-FR"/>
        </w:rPr>
        <w:t>tive à la lutte contre le blan</w:t>
      </w:r>
      <w:r w:rsidR="00C1377B" w:rsidRPr="00E96F00">
        <w:rPr>
          <w:rFonts w:ascii="Arial" w:eastAsia="MS Mincho" w:hAnsi="Arial" w:cs="Arial"/>
          <w:sz w:val="22"/>
          <w:szCs w:val="22"/>
          <w:lang w:val="fr-FR"/>
        </w:rPr>
        <w:t xml:space="preserve">chiment et contre le financement du terrorisme. </w:t>
      </w:r>
    </w:p>
    <w:p w:rsidR="009E3DC7" w:rsidRDefault="009E3DC7" w:rsidP="009710A2">
      <w:pPr>
        <w:ind w:right="43"/>
        <w:rPr>
          <w:rFonts w:ascii="Arial" w:hAnsi="Arial" w:cs="Arial"/>
          <w:b/>
          <w:noProof/>
          <w:sz w:val="22"/>
          <w:szCs w:val="22"/>
          <w:lang w:val="fr-FR"/>
        </w:rPr>
      </w:pPr>
    </w:p>
    <w:p w:rsidR="00ED4B0F" w:rsidRPr="00E9303F" w:rsidRDefault="00ED4B0F" w:rsidP="009710A2">
      <w:pPr>
        <w:pStyle w:val="Default"/>
        <w:ind w:right="43"/>
        <w:jc w:val="both"/>
        <w:rPr>
          <w:rFonts w:ascii="Arial" w:hAnsi="Arial" w:cs="Arial"/>
          <w:noProof/>
          <w:color w:val="auto"/>
          <w:sz w:val="22"/>
          <w:szCs w:val="22"/>
          <w:lang w:val="fr-FR"/>
        </w:rPr>
      </w:pPr>
    </w:p>
    <w:sectPr w:rsidR="00ED4B0F" w:rsidRPr="00E9303F" w:rsidSect="009710A2">
      <w:headerReference w:type="even" r:id="rId7"/>
      <w:footerReference w:type="even" r:id="rId8"/>
      <w:footerReference w:type="default" r:id="rId9"/>
      <w:type w:val="continuous"/>
      <w:pgSz w:w="11900" w:h="16840"/>
      <w:pgMar w:top="1440" w:right="1694"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EC" w:rsidRDefault="00F24CEC" w:rsidP="00B775CB">
      <w:r>
        <w:separator/>
      </w:r>
    </w:p>
  </w:endnote>
  <w:endnote w:type="continuationSeparator" w:id="0">
    <w:p w:rsidR="00F24CEC" w:rsidRDefault="00F24CEC"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7A87" w:usb1="80000000" w:usb2="00000008" w:usb3="00000000" w:csb0="000001F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8B" w:rsidRDefault="00C96766" w:rsidP="00215286">
    <w:pPr>
      <w:pStyle w:val="Pieddepage"/>
      <w:framePr w:wrap="around" w:vAnchor="text" w:hAnchor="margin" w:xAlign="right" w:y="1"/>
      <w:rPr>
        <w:rStyle w:val="Numrodepage"/>
      </w:rPr>
    </w:pPr>
    <w:r>
      <w:rPr>
        <w:rStyle w:val="Numrodepage"/>
      </w:rPr>
      <w:fldChar w:fldCharType="begin"/>
    </w:r>
    <w:r w:rsidR="001C3A8B">
      <w:rPr>
        <w:rStyle w:val="Numrodepage"/>
      </w:rPr>
      <w:instrText xml:space="preserve">PAGE  </w:instrText>
    </w:r>
    <w:r>
      <w:rPr>
        <w:rStyle w:val="Numrodepage"/>
      </w:rPr>
      <w:fldChar w:fldCharType="separate"/>
    </w:r>
    <w:r w:rsidR="001C3A8B">
      <w:rPr>
        <w:rStyle w:val="Numrodepage"/>
        <w:noProof/>
      </w:rPr>
      <w:t>1</w:t>
    </w:r>
    <w:r>
      <w:rPr>
        <w:rStyle w:val="Numrodepage"/>
      </w:rPr>
      <w:fldChar w:fldCharType="end"/>
    </w:r>
  </w:p>
  <w:p w:rsidR="001C3A8B" w:rsidRDefault="00C96766" w:rsidP="003E0B79">
    <w:pPr>
      <w:pStyle w:val="Pieddepage"/>
      <w:framePr w:wrap="around" w:vAnchor="text" w:hAnchor="margin" w:xAlign="right" w:y="1"/>
      <w:ind w:right="360"/>
      <w:rPr>
        <w:rStyle w:val="Numrodepage"/>
      </w:rPr>
    </w:pPr>
    <w:r>
      <w:rPr>
        <w:rStyle w:val="Numrodepage"/>
      </w:rPr>
      <w:fldChar w:fldCharType="begin"/>
    </w:r>
    <w:r w:rsidR="001C3A8B">
      <w:rPr>
        <w:rStyle w:val="Numrodepage"/>
      </w:rPr>
      <w:instrText xml:space="preserve">PAGE  </w:instrText>
    </w:r>
    <w:r>
      <w:rPr>
        <w:rStyle w:val="Numrodepage"/>
      </w:rPr>
      <w:fldChar w:fldCharType="separate"/>
    </w:r>
    <w:r w:rsidR="001C3A8B">
      <w:rPr>
        <w:rStyle w:val="Numrodepage"/>
        <w:noProof/>
      </w:rPr>
      <w:t>1</w:t>
    </w:r>
    <w:r>
      <w:rPr>
        <w:rStyle w:val="Numrodepage"/>
      </w:rPr>
      <w:fldChar w:fldCharType="end"/>
    </w:r>
  </w:p>
  <w:p w:rsidR="001C3A8B" w:rsidRDefault="001C3A8B" w:rsidP="003E0B7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8B" w:rsidRDefault="00C96766" w:rsidP="00A2499A">
    <w:pPr>
      <w:pStyle w:val="Pieddepage"/>
      <w:framePr w:wrap="around" w:vAnchor="text" w:hAnchor="margin" w:xAlign="right" w:y="1"/>
      <w:rPr>
        <w:rStyle w:val="Numrodepage"/>
      </w:rPr>
    </w:pPr>
    <w:r>
      <w:rPr>
        <w:rStyle w:val="Numrodepage"/>
      </w:rPr>
      <w:fldChar w:fldCharType="begin"/>
    </w:r>
    <w:r w:rsidR="001C3A8B">
      <w:rPr>
        <w:rStyle w:val="Numrodepage"/>
      </w:rPr>
      <w:instrText xml:space="preserve">PAGE  </w:instrText>
    </w:r>
    <w:r>
      <w:rPr>
        <w:rStyle w:val="Numrodepage"/>
      </w:rPr>
      <w:fldChar w:fldCharType="separate"/>
    </w:r>
    <w:r w:rsidR="00F131B1">
      <w:rPr>
        <w:rStyle w:val="Numrodepage"/>
        <w:noProof/>
      </w:rPr>
      <w:t>1</w:t>
    </w:r>
    <w:r>
      <w:rPr>
        <w:rStyle w:val="Numrodepage"/>
      </w:rPr>
      <w:fldChar w:fldCharType="end"/>
    </w:r>
  </w:p>
  <w:p w:rsidR="001C3A8B" w:rsidRDefault="001C3A8B" w:rsidP="00A2499A">
    <w:pPr>
      <w:pStyle w:val="Pieddepage"/>
      <w:ind w:right="360"/>
      <w:jc w:val="center"/>
    </w:pPr>
  </w:p>
  <w:p w:rsidR="001C3A8B" w:rsidRDefault="001C3A8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EC" w:rsidRDefault="00F24CEC" w:rsidP="00B775CB">
      <w:r>
        <w:separator/>
      </w:r>
    </w:p>
  </w:footnote>
  <w:footnote w:type="continuationSeparator" w:id="0">
    <w:p w:rsidR="00F24CEC" w:rsidRDefault="00F24CEC"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A8B" w:rsidRDefault="00C96766" w:rsidP="006B704B">
    <w:pPr>
      <w:pStyle w:val="En-tte"/>
      <w:framePr w:wrap="around" w:vAnchor="text" w:hAnchor="margin" w:xAlign="center" w:y="1"/>
      <w:rPr>
        <w:rStyle w:val="Numrodepage"/>
      </w:rPr>
    </w:pPr>
    <w:r>
      <w:rPr>
        <w:rStyle w:val="Numrodepage"/>
      </w:rPr>
      <w:fldChar w:fldCharType="begin"/>
    </w:r>
    <w:r w:rsidR="001C3A8B">
      <w:rPr>
        <w:rStyle w:val="Numrodepage"/>
      </w:rPr>
      <w:instrText xml:space="preserve">PAGE  </w:instrText>
    </w:r>
    <w:r>
      <w:rPr>
        <w:rStyle w:val="Numrodepage"/>
      </w:rPr>
      <w:fldChar w:fldCharType="separate"/>
    </w:r>
    <w:r w:rsidR="001C3A8B">
      <w:rPr>
        <w:rStyle w:val="Numrodepage"/>
        <w:noProof/>
      </w:rPr>
      <w:t>3</w:t>
    </w:r>
    <w:r>
      <w:rPr>
        <w:rStyle w:val="Numrodepage"/>
      </w:rPr>
      <w:fldChar w:fldCharType="end"/>
    </w:r>
  </w:p>
  <w:p w:rsidR="001C3A8B" w:rsidRDefault="001C3A8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3826C5"/>
    <w:multiLevelType w:val="hybridMultilevel"/>
    <w:tmpl w:val="129E9870"/>
    <w:lvl w:ilvl="0" w:tplc="FFFFFFFF">
      <w:start w:val="1"/>
      <w:numFmt w:val="bullet"/>
      <w:lvlText w:val="-"/>
      <w:lvlJc w:val="left"/>
      <w:pPr>
        <w:tabs>
          <w:tab w:val="num" w:pos="1162"/>
        </w:tabs>
        <w:ind w:left="1162"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0F780FB8"/>
    <w:multiLevelType w:val="hybridMultilevel"/>
    <w:tmpl w:val="7B50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12CA4"/>
    <w:multiLevelType w:val="hybridMultilevel"/>
    <w:tmpl w:val="C1161440"/>
    <w:lvl w:ilvl="0" w:tplc="7542D848">
      <w:start w:val="2"/>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7"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10"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11"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E6CE1"/>
    <w:multiLevelType w:val="hybridMultilevel"/>
    <w:tmpl w:val="77E85CC6"/>
    <w:lvl w:ilvl="0" w:tplc="2D8CA032">
      <w:start w:val="1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5DC2"/>
    <w:multiLevelType w:val="hybridMultilevel"/>
    <w:tmpl w:val="205AA3CA"/>
    <w:lvl w:ilvl="0" w:tplc="BA7256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17DB6"/>
    <w:multiLevelType w:val="hybridMultilevel"/>
    <w:tmpl w:val="0006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B5AFA"/>
    <w:multiLevelType w:val="hybridMultilevel"/>
    <w:tmpl w:val="E40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75E37"/>
    <w:multiLevelType w:val="hybridMultilevel"/>
    <w:tmpl w:val="4630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14CD1"/>
    <w:multiLevelType w:val="hybridMultilevel"/>
    <w:tmpl w:val="410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6154B"/>
    <w:multiLevelType w:val="hybridMultilevel"/>
    <w:tmpl w:val="287477A0"/>
    <w:lvl w:ilvl="0" w:tplc="B810D274">
      <w:start w:val="7"/>
      <w:numFmt w:val="bullet"/>
      <w:lvlText w:val="-"/>
      <w:lvlJc w:val="left"/>
      <w:pPr>
        <w:ind w:left="720" w:hanging="360"/>
      </w:pPr>
      <w:rPr>
        <w:rFonts w:ascii="Arial" w:eastAsia="MS Mincho"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3067C04"/>
    <w:multiLevelType w:val="hybridMultilevel"/>
    <w:tmpl w:val="E8BE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26" w15:restartNumberingAfterBreak="0">
    <w:nsid w:val="4B0307DA"/>
    <w:multiLevelType w:val="hybridMultilevel"/>
    <w:tmpl w:val="D6D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1"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2205B"/>
    <w:multiLevelType w:val="hybridMultilevel"/>
    <w:tmpl w:val="7DA6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4" w15:restartNumberingAfterBreak="0">
    <w:nsid w:val="64B67800"/>
    <w:multiLevelType w:val="hybridMultilevel"/>
    <w:tmpl w:val="E96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C0F5B"/>
    <w:multiLevelType w:val="hybridMultilevel"/>
    <w:tmpl w:val="B3C66820"/>
    <w:lvl w:ilvl="0" w:tplc="504842AC">
      <w:start w:val="2"/>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36"/>
  </w:num>
  <w:num w:numId="2">
    <w:abstractNumId w:val="22"/>
  </w:num>
  <w:num w:numId="3">
    <w:abstractNumId w:val="35"/>
  </w:num>
  <w:num w:numId="4">
    <w:abstractNumId w:val="33"/>
  </w:num>
  <w:num w:numId="5">
    <w:abstractNumId w:val="9"/>
  </w:num>
  <w:num w:numId="6">
    <w:abstractNumId w:val="30"/>
  </w:num>
  <w:num w:numId="7">
    <w:abstractNumId w:val="1"/>
  </w:num>
  <w:num w:numId="8">
    <w:abstractNumId w:val="6"/>
  </w:num>
  <w:num w:numId="9">
    <w:abstractNumId w:val="0"/>
  </w:num>
  <w:num w:numId="10">
    <w:abstractNumId w:val="7"/>
  </w:num>
  <w:num w:numId="11">
    <w:abstractNumId w:val="37"/>
  </w:num>
  <w:num w:numId="12">
    <w:abstractNumId w:val="14"/>
  </w:num>
  <w:num w:numId="13">
    <w:abstractNumId w:val="10"/>
  </w:num>
  <w:num w:numId="14">
    <w:abstractNumId w:val="28"/>
  </w:num>
  <w:num w:numId="15">
    <w:abstractNumId w:val="20"/>
  </w:num>
  <w:num w:numId="16">
    <w:abstractNumId w:val="21"/>
  </w:num>
  <w:num w:numId="17">
    <w:abstractNumId w:val="11"/>
  </w:num>
  <w:num w:numId="18">
    <w:abstractNumId w:val="8"/>
  </w:num>
  <w:num w:numId="19">
    <w:abstractNumId w:val="29"/>
  </w:num>
  <w:num w:numId="20">
    <w:abstractNumId w:val="19"/>
  </w:num>
  <w:num w:numId="21">
    <w:abstractNumId w:val="31"/>
  </w:num>
  <w:num w:numId="22">
    <w:abstractNumId w:val="27"/>
  </w:num>
  <w:num w:numId="23">
    <w:abstractNumId w:val="25"/>
  </w:num>
  <w:num w:numId="24">
    <w:abstractNumId w:val="24"/>
  </w:num>
  <w:num w:numId="25">
    <w:abstractNumId w:val="32"/>
  </w:num>
  <w:num w:numId="26">
    <w:abstractNumId w:val="34"/>
  </w:num>
  <w:num w:numId="27">
    <w:abstractNumId w:val="18"/>
  </w:num>
  <w:num w:numId="28">
    <w:abstractNumId w:val="12"/>
  </w:num>
  <w:num w:numId="29">
    <w:abstractNumId w:val="16"/>
  </w:num>
  <w:num w:numId="30">
    <w:abstractNumId w:val="17"/>
  </w:num>
  <w:num w:numId="31">
    <w:abstractNumId w:val="15"/>
  </w:num>
  <w:num w:numId="32">
    <w:abstractNumId w:val="26"/>
  </w:num>
  <w:num w:numId="33">
    <w:abstractNumId w:val="13"/>
  </w:num>
  <w:num w:numId="34">
    <w:abstractNumId w:val="2"/>
  </w:num>
  <w:num w:numId="35">
    <w:abstractNumId w:val="4"/>
  </w:num>
  <w:num w:numId="36">
    <w:abstractNumId w:val="5"/>
  </w:num>
  <w:num w:numId="37">
    <w:abstractNumId w:val="23"/>
  </w:num>
  <w:num w:numId="38">
    <w:abstractNumId w:val="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03C0B"/>
    <w:rsid w:val="000478CC"/>
    <w:rsid w:val="00050B6B"/>
    <w:rsid w:val="00057336"/>
    <w:rsid w:val="00062241"/>
    <w:rsid w:val="00086E6E"/>
    <w:rsid w:val="00094D91"/>
    <w:rsid w:val="000A6058"/>
    <w:rsid w:val="000A7329"/>
    <w:rsid w:val="000B3A5E"/>
    <w:rsid w:val="000C1725"/>
    <w:rsid w:val="000C1F1D"/>
    <w:rsid w:val="000D290D"/>
    <w:rsid w:val="000D71CF"/>
    <w:rsid w:val="000F1D01"/>
    <w:rsid w:val="0010469C"/>
    <w:rsid w:val="001139A0"/>
    <w:rsid w:val="00115785"/>
    <w:rsid w:val="00120B52"/>
    <w:rsid w:val="00121AF6"/>
    <w:rsid w:val="00124842"/>
    <w:rsid w:val="001443ED"/>
    <w:rsid w:val="001554F2"/>
    <w:rsid w:val="0016759E"/>
    <w:rsid w:val="001717BD"/>
    <w:rsid w:val="001A4DC2"/>
    <w:rsid w:val="001C0DD6"/>
    <w:rsid w:val="001C3A8B"/>
    <w:rsid w:val="001C79C6"/>
    <w:rsid w:val="001D0097"/>
    <w:rsid w:val="001D30EA"/>
    <w:rsid w:val="001D65D7"/>
    <w:rsid w:val="001E22D1"/>
    <w:rsid w:val="001E733E"/>
    <w:rsid w:val="001F6CD1"/>
    <w:rsid w:val="002015A9"/>
    <w:rsid w:val="00215286"/>
    <w:rsid w:val="00216506"/>
    <w:rsid w:val="002219C0"/>
    <w:rsid w:val="002220E0"/>
    <w:rsid w:val="00233085"/>
    <w:rsid w:val="00233914"/>
    <w:rsid w:val="00233FCE"/>
    <w:rsid w:val="00236B9F"/>
    <w:rsid w:val="00245527"/>
    <w:rsid w:val="0024711E"/>
    <w:rsid w:val="002609D3"/>
    <w:rsid w:val="00286162"/>
    <w:rsid w:val="002867E3"/>
    <w:rsid w:val="002C1855"/>
    <w:rsid w:val="002C7ABC"/>
    <w:rsid w:val="002D504D"/>
    <w:rsid w:val="002E116B"/>
    <w:rsid w:val="002E6CFC"/>
    <w:rsid w:val="00332AA2"/>
    <w:rsid w:val="0033481A"/>
    <w:rsid w:val="00361390"/>
    <w:rsid w:val="003615AE"/>
    <w:rsid w:val="00364D5C"/>
    <w:rsid w:val="003844D5"/>
    <w:rsid w:val="00396ECE"/>
    <w:rsid w:val="003A0C16"/>
    <w:rsid w:val="003A24E7"/>
    <w:rsid w:val="003B39A4"/>
    <w:rsid w:val="003B677B"/>
    <w:rsid w:val="003D0A59"/>
    <w:rsid w:val="003D1241"/>
    <w:rsid w:val="003E0B79"/>
    <w:rsid w:val="003E69CE"/>
    <w:rsid w:val="003E74EA"/>
    <w:rsid w:val="003F6A9F"/>
    <w:rsid w:val="004030B0"/>
    <w:rsid w:val="00405F0D"/>
    <w:rsid w:val="00407D5F"/>
    <w:rsid w:val="0041364C"/>
    <w:rsid w:val="0041539E"/>
    <w:rsid w:val="0042010F"/>
    <w:rsid w:val="004229B6"/>
    <w:rsid w:val="00431EF7"/>
    <w:rsid w:val="0043242A"/>
    <w:rsid w:val="004417C2"/>
    <w:rsid w:val="004423E9"/>
    <w:rsid w:val="00463C33"/>
    <w:rsid w:val="00464086"/>
    <w:rsid w:val="00475417"/>
    <w:rsid w:val="004823B7"/>
    <w:rsid w:val="004A6915"/>
    <w:rsid w:val="004C08ED"/>
    <w:rsid w:val="004C338A"/>
    <w:rsid w:val="004C66BD"/>
    <w:rsid w:val="004D5D39"/>
    <w:rsid w:val="004E1CC4"/>
    <w:rsid w:val="004E4357"/>
    <w:rsid w:val="004E5079"/>
    <w:rsid w:val="004F10F8"/>
    <w:rsid w:val="005221BD"/>
    <w:rsid w:val="0052469B"/>
    <w:rsid w:val="00540F2C"/>
    <w:rsid w:val="00541AF7"/>
    <w:rsid w:val="00547821"/>
    <w:rsid w:val="00556E1C"/>
    <w:rsid w:val="005701F7"/>
    <w:rsid w:val="005708F2"/>
    <w:rsid w:val="005900DF"/>
    <w:rsid w:val="005A5445"/>
    <w:rsid w:val="005B2729"/>
    <w:rsid w:val="005B3D21"/>
    <w:rsid w:val="005B49F1"/>
    <w:rsid w:val="005B6A21"/>
    <w:rsid w:val="005C19EA"/>
    <w:rsid w:val="005D5BBE"/>
    <w:rsid w:val="005D7602"/>
    <w:rsid w:val="005D789F"/>
    <w:rsid w:val="005E7030"/>
    <w:rsid w:val="005F49C0"/>
    <w:rsid w:val="006006BF"/>
    <w:rsid w:val="006019FD"/>
    <w:rsid w:val="0060395E"/>
    <w:rsid w:val="00604BCC"/>
    <w:rsid w:val="0061467F"/>
    <w:rsid w:val="00616A49"/>
    <w:rsid w:val="006265EF"/>
    <w:rsid w:val="00637738"/>
    <w:rsid w:val="00651AD4"/>
    <w:rsid w:val="00653B51"/>
    <w:rsid w:val="00657FA8"/>
    <w:rsid w:val="00660B61"/>
    <w:rsid w:val="00672DD3"/>
    <w:rsid w:val="00677471"/>
    <w:rsid w:val="0068698B"/>
    <w:rsid w:val="006A06E8"/>
    <w:rsid w:val="006B400E"/>
    <w:rsid w:val="006B704B"/>
    <w:rsid w:val="006C1F4E"/>
    <w:rsid w:val="006C3F9B"/>
    <w:rsid w:val="006C7DFD"/>
    <w:rsid w:val="006E1070"/>
    <w:rsid w:val="006E1E59"/>
    <w:rsid w:val="006E7555"/>
    <w:rsid w:val="006F5B8B"/>
    <w:rsid w:val="007008D8"/>
    <w:rsid w:val="007020EE"/>
    <w:rsid w:val="00717F1F"/>
    <w:rsid w:val="0072264C"/>
    <w:rsid w:val="0072317D"/>
    <w:rsid w:val="007559DC"/>
    <w:rsid w:val="0075706A"/>
    <w:rsid w:val="00785716"/>
    <w:rsid w:val="007910CC"/>
    <w:rsid w:val="00791C1F"/>
    <w:rsid w:val="00797523"/>
    <w:rsid w:val="007D107A"/>
    <w:rsid w:val="007D57A5"/>
    <w:rsid w:val="007E1FC4"/>
    <w:rsid w:val="007F47F9"/>
    <w:rsid w:val="007F61CF"/>
    <w:rsid w:val="0080517E"/>
    <w:rsid w:val="008077B1"/>
    <w:rsid w:val="0081472E"/>
    <w:rsid w:val="00815CF6"/>
    <w:rsid w:val="0083441B"/>
    <w:rsid w:val="008359BE"/>
    <w:rsid w:val="008371A1"/>
    <w:rsid w:val="008535E2"/>
    <w:rsid w:val="0085465A"/>
    <w:rsid w:val="0086630D"/>
    <w:rsid w:val="0088180D"/>
    <w:rsid w:val="008849F3"/>
    <w:rsid w:val="00893452"/>
    <w:rsid w:val="00896AC2"/>
    <w:rsid w:val="008A6255"/>
    <w:rsid w:val="008A785F"/>
    <w:rsid w:val="008B4A74"/>
    <w:rsid w:val="008C666F"/>
    <w:rsid w:val="008D5C32"/>
    <w:rsid w:val="008E3BB9"/>
    <w:rsid w:val="00901A3C"/>
    <w:rsid w:val="00907C68"/>
    <w:rsid w:val="00927DEB"/>
    <w:rsid w:val="00931DE1"/>
    <w:rsid w:val="009506BC"/>
    <w:rsid w:val="00961E9D"/>
    <w:rsid w:val="00962406"/>
    <w:rsid w:val="00962611"/>
    <w:rsid w:val="009710A2"/>
    <w:rsid w:val="00981402"/>
    <w:rsid w:val="009A5EF8"/>
    <w:rsid w:val="009D0657"/>
    <w:rsid w:val="009E3DC7"/>
    <w:rsid w:val="009E4104"/>
    <w:rsid w:val="009E632A"/>
    <w:rsid w:val="009E71DC"/>
    <w:rsid w:val="009E7DC3"/>
    <w:rsid w:val="009F07BB"/>
    <w:rsid w:val="00A01246"/>
    <w:rsid w:val="00A0439D"/>
    <w:rsid w:val="00A165A4"/>
    <w:rsid w:val="00A173B6"/>
    <w:rsid w:val="00A212E8"/>
    <w:rsid w:val="00A22DF9"/>
    <w:rsid w:val="00A2499A"/>
    <w:rsid w:val="00A44BC9"/>
    <w:rsid w:val="00A50462"/>
    <w:rsid w:val="00A670BE"/>
    <w:rsid w:val="00A677E8"/>
    <w:rsid w:val="00A71878"/>
    <w:rsid w:val="00A968FF"/>
    <w:rsid w:val="00AC3190"/>
    <w:rsid w:val="00AE2421"/>
    <w:rsid w:val="00B04FD3"/>
    <w:rsid w:val="00B161FB"/>
    <w:rsid w:val="00B17B44"/>
    <w:rsid w:val="00B239BC"/>
    <w:rsid w:val="00B27C28"/>
    <w:rsid w:val="00B30EA5"/>
    <w:rsid w:val="00B322C6"/>
    <w:rsid w:val="00B477B7"/>
    <w:rsid w:val="00B526D3"/>
    <w:rsid w:val="00B632D4"/>
    <w:rsid w:val="00B775CB"/>
    <w:rsid w:val="00B83C77"/>
    <w:rsid w:val="00B84DD3"/>
    <w:rsid w:val="00B970E4"/>
    <w:rsid w:val="00BA56CF"/>
    <w:rsid w:val="00BA7CF5"/>
    <w:rsid w:val="00BB3474"/>
    <w:rsid w:val="00BB3F1E"/>
    <w:rsid w:val="00BD11A8"/>
    <w:rsid w:val="00BF39B7"/>
    <w:rsid w:val="00C02E22"/>
    <w:rsid w:val="00C03C71"/>
    <w:rsid w:val="00C1377B"/>
    <w:rsid w:val="00C25F79"/>
    <w:rsid w:val="00C34BD6"/>
    <w:rsid w:val="00C46894"/>
    <w:rsid w:val="00C506AC"/>
    <w:rsid w:val="00C74851"/>
    <w:rsid w:val="00C770FF"/>
    <w:rsid w:val="00C96766"/>
    <w:rsid w:val="00CD503B"/>
    <w:rsid w:val="00CD55A2"/>
    <w:rsid w:val="00CD6AA6"/>
    <w:rsid w:val="00CF02CA"/>
    <w:rsid w:val="00D0630D"/>
    <w:rsid w:val="00D066EE"/>
    <w:rsid w:val="00D0770B"/>
    <w:rsid w:val="00D300A3"/>
    <w:rsid w:val="00D416D3"/>
    <w:rsid w:val="00D41BC7"/>
    <w:rsid w:val="00D52CD0"/>
    <w:rsid w:val="00D61AFD"/>
    <w:rsid w:val="00D66359"/>
    <w:rsid w:val="00D677E2"/>
    <w:rsid w:val="00D7596E"/>
    <w:rsid w:val="00D91AF4"/>
    <w:rsid w:val="00DA0E2A"/>
    <w:rsid w:val="00DA12C8"/>
    <w:rsid w:val="00DB483B"/>
    <w:rsid w:val="00DB7FE7"/>
    <w:rsid w:val="00DC6C9A"/>
    <w:rsid w:val="00DD03C7"/>
    <w:rsid w:val="00DD0889"/>
    <w:rsid w:val="00DD1195"/>
    <w:rsid w:val="00DE39B9"/>
    <w:rsid w:val="00DE42C6"/>
    <w:rsid w:val="00DF2920"/>
    <w:rsid w:val="00E10E4C"/>
    <w:rsid w:val="00E35608"/>
    <w:rsid w:val="00E41E6C"/>
    <w:rsid w:val="00E43EC8"/>
    <w:rsid w:val="00E4551E"/>
    <w:rsid w:val="00E51327"/>
    <w:rsid w:val="00E52E87"/>
    <w:rsid w:val="00E61A63"/>
    <w:rsid w:val="00E71719"/>
    <w:rsid w:val="00E77907"/>
    <w:rsid w:val="00E9303F"/>
    <w:rsid w:val="00E96F00"/>
    <w:rsid w:val="00EA3A77"/>
    <w:rsid w:val="00EA4195"/>
    <w:rsid w:val="00EC2142"/>
    <w:rsid w:val="00EC6729"/>
    <w:rsid w:val="00ED4B0F"/>
    <w:rsid w:val="00ED5FB7"/>
    <w:rsid w:val="00EE31A6"/>
    <w:rsid w:val="00EE35AE"/>
    <w:rsid w:val="00F1033E"/>
    <w:rsid w:val="00F131B1"/>
    <w:rsid w:val="00F17704"/>
    <w:rsid w:val="00F22669"/>
    <w:rsid w:val="00F24CEC"/>
    <w:rsid w:val="00F31A80"/>
    <w:rsid w:val="00F349D0"/>
    <w:rsid w:val="00F3604B"/>
    <w:rsid w:val="00F36992"/>
    <w:rsid w:val="00F521D1"/>
    <w:rsid w:val="00F61920"/>
    <w:rsid w:val="00F974BB"/>
    <w:rsid w:val="00FA7A9C"/>
    <w:rsid w:val="00FB177C"/>
    <w:rsid w:val="00FB7533"/>
    <w:rsid w:val="00FE6D42"/>
    <w:rsid w:val="00FE6DCD"/>
    <w:rsid w:val="00FF30AE"/>
    <w:rsid w:val="00FF7F6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ADA81583-3263-4D05-92C6-9EC6AF70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paragraph" w:styleId="Titre1">
    <w:name w:val="heading 1"/>
    <w:basedOn w:val="Normal"/>
    <w:link w:val="Titre1Car"/>
    <w:uiPriority w:val="9"/>
    <w:qFormat/>
    <w:rsid w:val="00FE6D42"/>
    <w:pPr>
      <w:spacing w:before="100" w:beforeAutospacing="1" w:after="100" w:afterAutospacing="1"/>
      <w:outlineLvl w:val="0"/>
    </w:pPr>
    <w:rPr>
      <w:rFonts w:ascii="Times" w:eastAsia="MS Mincho"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E6D42"/>
    <w:rPr>
      <w:rFonts w:ascii="Times" w:hAnsi="Times"/>
      <w:b/>
      <w:bCs/>
      <w:kern w:val="36"/>
      <w:sz w:val="48"/>
      <w:szCs w:val="48"/>
    </w:rPr>
  </w:style>
  <w:style w:type="paragraph" w:styleId="En-tte">
    <w:name w:val="header"/>
    <w:basedOn w:val="Normal"/>
    <w:link w:val="En-tteCar"/>
    <w:uiPriority w:val="99"/>
    <w:unhideWhenUsed/>
    <w:rsid w:val="00B775CB"/>
    <w:pPr>
      <w:tabs>
        <w:tab w:val="center" w:pos="4320"/>
        <w:tab w:val="right" w:pos="8640"/>
      </w:tabs>
    </w:pPr>
    <w:rPr>
      <w:sz w:val="20"/>
      <w:szCs w:val="20"/>
      <w:lang w:eastAsia="x-none"/>
    </w:rPr>
  </w:style>
  <w:style w:type="character" w:customStyle="1" w:styleId="En-tteCar">
    <w:name w:val="En-tête Car"/>
    <w:link w:val="En-tte"/>
    <w:uiPriority w:val="99"/>
    <w:rsid w:val="00B775CB"/>
    <w:rPr>
      <w:rFonts w:ascii="Cambria" w:eastAsia="Cambria" w:hAnsi="Cambria" w:cs="Times New Roman"/>
      <w:sz w:val="20"/>
      <w:szCs w:val="20"/>
      <w:lang w:val="de-DE" w:eastAsia="x-non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lang w:eastAsia="x-none"/>
    </w:rPr>
  </w:style>
  <w:style w:type="character" w:customStyle="1" w:styleId="PieddepageCar">
    <w:name w:val="Pied de page Car"/>
    <w:link w:val="Pieddepage"/>
    <w:uiPriority w:val="99"/>
    <w:rsid w:val="00B775CB"/>
    <w:rPr>
      <w:rFonts w:ascii="Cambria" w:eastAsia="Cambria" w:hAnsi="Cambria" w:cs="Times New Roman"/>
      <w:sz w:val="20"/>
      <w:szCs w:val="20"/>
      <w:lang w:val="de-DE" w:eastAsia="x-non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val="x-none" w:eastAsia="fr-FR"/>
    </w:rPr>
  </w:style>
  <w:style w:type="character" w:customStyle="1" w:styleId="Retraitcorpsdetexte3Car">
    <w:name w:val="Retrait corps de texte 3 Car"/>
    <w:link w:val="Retraitcorpsdetexte3"/>
    <w:rsid w:val="00B775CB"/>
    <w:rPr>
      <w:rFonts w:ascii="Times New Roman" w:eastAsia="Times New Roman" w:hAnsi="Times New Roman" w:cs="Times New Roman"/>
      <w:sz w:val="20"/>
      <w:szCs w:val="20"/>
      <w:lang w:val="x-none" w:eastAsia="fr-FR"/>
    </w:rPr>
  </w:style>
  <w:style w:type="character" w:styleId="Lienhypertexte">
    <w:name w:val="Hyperlink"/>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rsid w:val="00B775CB"/>
    <w:rPr>
      <w:lang w:eastAsia="x-none"/>
    </w:rPr>
  </w:style>
  <w:style w:type="character" w:customStyle="1" w:styleId="NotedebasdepageCar">
    <w:name w:val="Note de bas de page Car"/>
    <w:link w:val="Notedebasdepage"/>
    <w:rsid w:val="00B775CB"/>
    <w:rPr>
      <w:rFonts w:ascii="Cambria" w:eastAsia="Cambria" w:hAnsi="Cambria" w:cs="Times New Roman"/>
      <w:lang w:val="de-DE" w:eastAsia="x-none"/>
    </w:rPr>
  </w:style>
  <w:style w:type="character" w:styleId="Appelnotedebasdep">
    <w:name w:val="footnote reference"/>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 w:type="character" w:styleId="Marquedecommentaire">
    <w:name w:val="annotation reference"/>
    <w:uiPriority w:val="99"/>
    <w:semiHidden/>
    <w:unhideWhenUsed/>
    <w:rsid w:val="00BB3474"/>
    <w:rPr>
      <w:sz w:val="18"/>
      <w:szCs w:val="18"/>
    </w:rPr>
  </w:style>
  <w:style w:type="paragraph" w:styleId="Commentaire">
    <w:name w:val="annotation text"/>
    <w:basedOn w:val="Normal"/>
    <w:link w:val="CommentaireCar"/>
    <w:uiPriority w:val="99"/>
    <w:semiHidden/>
    <w:unhideWhenUsed/>
    <w:rsid w:val="00BB3474"/>
  </w:style>
  <w:style w:type="character" w:customStyle="1" w:styleId="CommentaireCar">
    <w:name w:val="Commentaire Car"/>
    <w:link w:val="Commentaire"/>
    <w:uiPriority w:val="99"/>
    <w:semiHidden/>
    <w:rsid w:val="00BB3474"/>
    <w:rPr>
      <w:rFonts w:ascii="Cambria" w:eastAsia="Cambria" w:hAnsi="Cambria" w:cs="Times New Roman"/>
      <w:lang w:val="de-DE"/>
    </w:rPr>
  </w:style>
  <w:style w:type="paragraph" w:styleId="Objetducommentaire">
    <w:name w:val="annotation subject"/>
    <w:basedOn w:val="Commentaire"/>
    <w:next w:val="Commentaire"/>
    <w:link w:val="ObjetducommentaireCar"/>
    <w:uiPriority w:val="99"/>
    <w:semiHidden/>
    <w:unhideWhenUsed/>
    <w:rsid w:val="00BB3474"/>
    <w:rPr>
      <w:b/>
      <w:bCs/>
      <w:sz w:val="20"/>
      <w:szCs w:val="20"/>
    </w:rPr>
  </w:style>
  <w:style w:type="character" w:customStyle="1" w:styleId="ObjetducommentaireCar">
    <w:name w:val="Objet du commentaire Car"/>
    <w:link w:val="Objetducommentaire"/>
    <w:uiPriority w:val="99"/>
    <w:semiHidden/>
    <w:rsid w:val="00BB3474"/>
    <w:rPr>
      <w:rFonts w:ascii="Cambria" w:eastAsia="Cambria" w:hAnsi="Cambria" w:cs="Times New Roman"/>
      <w:b/>
      <w:bCs/>
      <w:sz w:val="20"/>
      <w:szCs w:val="20"/>
      <w:lang w:val="de-DE"/>
    </w:rPr>
  </w:style>
  <w:style w:type="paragraph" w:customStyle="1" w:styleId="CM1">
    <w:name w:val="CM1"/>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3">
    <w:name w:val="CM3"/>
    <w:basedOn w:val="Default"/>
    <w:next w:val="Default"/>
    <w:uiPriority w:val="99"/>
    <w:rsid w:val="00BB3474"/>
    <w:pPr>
      <w:widowControl w:val="0"/>
    </w:pPr>
    <w:rPr>
      <w:rFonts w:ascii="EUAlbertina" w:eastAsia="MS Mincho" w:hAnsi="EUAlbertina" w:cs="Times New Roman"/>
      <w:color w:val="auto"/>
      <w:lang w:val="en-US" w:eastAsia="en-US"/>
    </w:rPr>
  </w:style>
  <w:style w:type="paragraph" w:customStyle="1" w:styleId="CM4">
    <w:name w:val="CM4"/>
    <w:basedOn w:val="Default"/>
    <w:next w:val="Default"/>
    <w:uiPriority w:val="99"/>
    <w:rsid w:val="00BB3474"/>
    <w:pPr>
      <w:widowControl w:val="0"/>
    </w:pPr>
    <w:rPr>
      <w:rFonts w:ascii="EUAlbertina" w:eastAsia="MS Mincho" w:hAnsi="EUAlbertina" w:cs="Times New Roman"/>
      <w:color w:val="auto"/>
      <w:lang w:val="en-US" w:eastAsia="en-US"/>
    </w:rPr>
  </w:style>
  <w:style w:type="paragraph" w:styleId="Sansinterligne">
    <w:name w:val="No Spacing"/>
    <w:uiPriority w:val="1"/>
    <w:qFormat/>
    <w:rsid w:val="00A01246"/>
    <w:rPr>
      <w:rFonts w:eastAsia="Cambria"/>
      <w:sz w:val="24"/>
      <w:szCs w:val="24"/>
      <w:lang w:val="de-DE" w:eastAsia="en-US"/>
    </w:rPr>
  </w:style>
  <w:style w:type="character" w:customStyle="1" w:styleId="date-lien">
    <w:name w:val="date-lien"/>
    <w:basedOn w:val="Policepardfaut"/>
    <w:rsid w:val="00E61A63"/>
  </w:style>
  <w:style w:type="paragraph" w:styleId="PrformatHTML">
    <w:name w:val="HTML Preformatted"/>
    <w:basedOn w:val="Normal"/>
    <w:link w:val="PrformatHTMLCar"/>
    <w:uiPriority w:val="99"/>
    <w:semiHidden/>
    <w:unhideWhenUsed/>
    <w:rsid w:val="00FB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PrformatHTMLCar">
    <w:name w:val="Préformaté HTML Car"/>
    <w:link w:val="PrformatHTML"/>
    <w:uiPriority w:val="99"/>
    <w:semiHidden/>
    <w:rsid w:val="00FB177C"/>
    <w:rPr>
      <w:rFonts w:ascii="Courier" w:hAnsi="Courier" w:cs="Courier"/>
      <w:sz w:val="20"/>
      <w:szCs w:val="20"/>
    </w:rPr>
  </w:style>
  <w:style w:type="paragraph" w:customStyle="1" w:styleId="Pa15">
    <w:name w:val="Pa15"/>
    <w:basedOn w:val="Default"/>
    <w:next w:val="Default"/>
    <w:uiPriority w:val="99"/>
    <w:rsid w:val="005F49C0"/>
    <w:pPr>
      <w:widowControl w:val="0"/>
      <w:spacing w:after="40" w:line="201" w:lineRule="atLeast"/>
    </w:pPr>
    <w:rPr>
      <w:rFonts w:ascii="Times New Roman" w:eastAsia="MS Mincho" w:hAnsi="Times New Roman" w:cs="Times New Roman"/>
      <w:color w:val="auto"/>
      <w:lang w:val="en-US" w:eastAsia="en-US"/>
    </w:rPr>
  </w:style>
  <w:style w:type="character" w:customStyle="1" w:styleId="A7">
    <w:name w:val="A7"/>
    <w:uiPriority w:val="99"/>
    <w:rsid w:val="000B3A5E"/>
    <w:rPr>
      <w:i/>
      <w:iCs/>
      <w:color w:val="000000"/>
      <w:sz w:val="15"/>
      <w:szCs w:val="15"/>
    </w:rPr>
  </w:style>
  <w:style w:type="paragraph" w:customStyle="1" w:styleId="Pa8">
    <w:name w:val="Pa8"/>
    <w:basedOn w:val="Default"/>
    <w:next w:val="Default"/>
    <w:uiPriority w:val="99"/>
    <w:rsid w:val="00547821"/>
    <w:pPr>
      <w:spacing w:line="201" w:lineRule="atLeast"/>
    </w:pPr>
    <w:rPr>
      <w:rFonts w:ascii="Times New Roman" w:hAnsi="Times New Roman" w:cs="Times New Roman"/>
      <w:color w:val="auto"/>
    </w:rPr>
  </w:style>
  <w:style w:type="character" w:customStyle="1" w:styleId="A6">
    <w:name w:val="A6"/>
    <w:uiPriority w:val="99"/>
    <w:rsid w:val="00547821"/>
    <w:rPr>
      <w:color w:val="000000"/>
      <w:sz w:val="20"/>
      <w:szCs w:val="20"/>
      <w:u w:val="single"/>
    </w:rPr>
  </w:style>
  <w:style w:type="character" w:customStyle="1" w:styleId="A9">
    <w:name w:val="A9"/>
    <w:uiPriority w:val="99"/>
    <w:rsid w:val="00547821"/>
    <w:rPr>
      <w:i/>
      <w:iCs/>
      <w:color w:val="000000"/>
      <w:sz w:val="12"/>
      <w:szCs w:val="12"/>
    </w:rPr>
  </w:style>
  <w:style w:type="paragraph" w:customStyle="1" w:styleId="Pa33">
    <w:name w:val="Pa33"/>
    <w:basedOn w:val="Default"/>
    <w:next w:val="Default"/>
    <w:uiPriority w:val="99"/>
    <w:rsid w:val="00547821"/>
    <w:pPr>
      <w:widowControl w:val="0"/>
      <w:spacing w:before="100" w:after="40" w:line="201" w:lineRule="atLeas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0881">
      <w:bodyDiv w:val="1"/>
      <w:marLeft w:val="0"/>
      <w:marRight w:val="0"/>
      <w:marTop w:val="0"/>
      <w:marBottom w:val="0"/>
      <w:divBdr>
        <w:top w:val="none" w:sz="0" w:space="0" w:color="auto"/>
        <w:left w:val="none" w:sz="0" w:space="0" w:color="auto"/>
        <w:bottom w:val="none" w:sz="0" w:space="0" w:color="auto"/>
        <w:right w:val="none" w:sz="0" w:space="0" w:color="auto"/>
      </w:divBdr>
    </w:div>
    <w:div w:id="343169524">
      <w:bodyDiv w:val="1"/>
      <w:marLeft w:val="0"/>
      <w:marRight w:val="0"/>
      <w:marTop w:val="0"/>
      <w:marBottom w:val="0"/>
      <w:divBdr>
        <w:top w:val="none" w:sz="0" w:space="0" w:color="auto"/>
        <w:left w:val="none" w:sz="0" w:space="0" w:color="auto"/>
        <w:bottom w:val="none" w:sz="0" w:space="0" w:color="auto"/>
        <w:right w:val="none" w:sz="0" w:space="0" w:color="auto"/>
      </w:divBdr>
    </w:div>
    <w:div w:id="395057216">
      <w:bodyDiv w:val="1"/>
      <w:marLeft w:val="0"/>
      <w:marRight w:val="0"/>
      <w:marTop w:val="0"/>
      <w:marBottom w:val="0"/>
      <w:divBdr>
        <w:top w:val="none" w:sz="0" w:space="0" w:color="auto"/>
        <w:left w:val="none" w:sz="0" w:space="0" w:color="auto"/>
        <w:bottom w:val="none" w:sz="0" w:space="0" w:color="auto"/>
        <w:right w:val="none" w:sz="0" w:space="0" w:color="auto"/>
      </w:divBdr>
    </w:div>
    <w:div w:id="430246121">
      <w:bodyDiv w:val="1"/>
      <w:marLeft w:val="0"/>
      <w:marRight w:val="0"/>
      <w:marTop w:val="0"/>
      <w:marBottom w:val="0"/>
      <w:divBdr>
        <w:top w:val="none" w:sz="0" w:space="0" w:color="auto"/>
        <w:left w:val="none" w:sz="0" w:space="0" w:color="auto"/>
        <w:bottom w:val="none" w:sz="0" w:space="0" w:color="auto"/>
        <w:right w:val="none" w:sz="0" w:space="0" w:color="auto"/>
      </w:divBdr>
    </w:div>
    <w:div w:id="454836900">
      <w:bodyDiv w:val="1"/>
      <w:marLeft w:val="0"/>
      <w:marRight w:val="0"/>
      <w:marTop w:val="0"/>
      <w:marBottom w:val="0"/>
      <w:divBdr>
        <w:top w:val="none" w:sz="0" w:space="0" w:color="auto"/>
        <w:left w:val="none" w:sz="0" w:space="0" w:color="auto"/>
        <w:bottom w:val="none" w:sz="0" w:space="0" w:color="auto"/>
        <w:right w:val="none" w:sz="0" w:space="0" w:color="auto"/>
      </w:divBdr>
    </w:div>
    <w:div w:id="468282443">
      <w:bodyDiv w:val="1"/>
      <w:marLeft w:val="0"/>
      <w:marRight w:val="0"/>
      <w:marTop w:val="0"/>
      <w:marBottom w:val="0"/>
      <w:divBdr>
        <w:top w:val="none" w:sz="0" w:space="0" w:color="auto"/>
        <w:left w:val="none" w:sz="0" w:space="0" w:color="auto"/>
        <w:bottom w:val="none" w:sz="0" w:space="0" w:color="auto"/>
        <w:right w:val="none" w:sz="0" w:space="0" w:color="auto"/>
      </w:divBdr>
      <w:divsChild>
        <w:div w:id="240254993">
          <w:marLeft w:val="300"/>
          <w:marRight w:val="0"/>
          <w:marTop w:val="225"/>
          <w:marBottom w:val="225"/>
          <w:divBdr>
            <w:top w:val="none" w:sz="0" w:space="0" w:color="auto"/>
            <w:left w:val="none" w:sz="0" w:space="0" w:color="auto"/>
            <w:bottom w:val="none" w:sz="0" w:space="0" w:color="auto"/>
            <w:right w:val="none" w:sz="0" w:space="0" w:color="auto"/>
          </w:divBdr>
          <w:divsChild>
            <w:div w:id="9930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7499">
      <w:bodyDiv w:val="1"/>
      <w:marLeft w:val="0"/>
      <w:marRight w:val="0"/>
      <w:marTop w:val="0"/>
      <w:marBottom w:val="0"/>
      <w:divBdr>
        <w:top w:val="none" w:sz="0" w:space="0" w:color="auto"/>
        <w:left w:val="none" w:sz="0" w:space="0" w:color="auto"/>
        <w:bottom w:val="none" w:sz="0" w:space="0" w:color="auto"/>
        <w:right w:val="none" w:sz="0" w:space="0" w:color="auto"/>
      </w:divBdr>
    </w:div>
    <w:div w:id="525750142">
      <w:bodyDiv w:val="1"/>
      <w:marLeft w:val="0"/>
      <w:marRight w:val="0"/>
      <w:marTop w:val="0"/>
      <w:marBottom w:val="0"/>
      <w:divBdr>
        <w:top w:val="none" w:sz="0" w:space="0" w:color="auto"/>
        <w:left w:val="none" w:sz="0" w:space="0" w:color="auto"/>
        <w:bottom w:val="none" w:sz="0" w:space="0" w:color="auto"/>
        <w:right w:val="none" w:sz="0" w:space="0" w:color="auto"/>
      </w:divBdr>
    </w:div>
    <w:div w:id="539826832">
      <w:bodyDiv w:val="1"/>
      <w:marLeft w:val="0"/>
      <w:marRight w:val="0"/>
      <w:marTop w:val="0"/>
      <w:marBottom w:val="0"/>
      <w:divBdr>
        <w:top w:val="none" w:sz="0" w:space="0" w:color="auto"/>
        <w:left w:val="none" w:sz="0" w:space="0" w:color="auto"/>
        <w:bottom w:val="none" w:sz="0" w:space="0" w:color="auto"/>
        <w:right w:val="none" w:sz="0" w:space="0" w:color="auto"/>
      </w:divBdr>
    </w:div>
    <w:div w:id="579602261">
      <w:bodyDiv w:val="1"/>
      <w:marLeft w:val="0"/>
      <w:marRight w:val="0"/>
      <w:marTop w:val="0"/>
      <w:marBottom w:val="0"/>
      <w:divBdr>
        <w:top w:val="none" w:sz="0" w:space="0" w:color="auto"/>
        <w:left w:val="none" w:sz="0" w:space="0" w:color="auto"/>
        <w:bottom w:val="none" w:sz="0" w:space="0" w:color="auto"/>
        <w:right w:val="none" w:sz="0" w:space="0" w:color="auto"/>
      </w:divBdr>
    </w:div>
    <w:div w:id="733628464">
      <w:bodyDiv w:val="1"/>
      <w:marLeft w:val="0"/>
      <w:marRight w:val="0"/>
      <w:marTop w:val="0"/>
      <w:marBottom w:val="0"/>
      <w:divBdr>
        <w:top w:val="none" w:sz="0" w:space="0" w:color="auto"/>
        <w:left w:val="none" w:sz="0" w:space="0" w:color="auto"/>
        <w:bottom w:val="none" w:sz="0" w:space="0" w:color="auto"/>
        <w:right w:val="none" w:sz="0" w:space="0" w:color="auto"/>
      </w:divBdr>
    </w:div>
    <w:div w:id="944077409">
      <w:bodyDiv w:val="1"/>
      <w:marLeft w:val="0"/>
      <w:marRight w:val="0"/>
      <w:marTop w:val="0"/>
      <w:marBottom w:val="0"/>
      <w:divBdr>
        <w:top w:val="none" w:sz="0" w:space="0" w:color="auto"/>
        <w:left w:val="none" w:sz="0" w:space="0" w:color="auto"/>
        <w:bottom w:val="none" w:sz="0" w:space="0" w:color="auto"/>
        <w:right w:val="none" w:sz="0" w:space="0" w:color="auto"/>
      </w:divBdr>
    </w:div>
    <w:div w:id="966856379">
      <w:bodyDiv w:val="1"/>
      <w:marLeft w:val="0"/>
      <w:marRight w:val="0"/>
      <w:marTop w:val="0"/>
      <w:marBottom w:val="0"/>
      <w:divBdr>
        <w:top w:val="none" w:sz="0" w:space="0" w:color="auto"/>
        <w:left w:val="none" w:sz="0" w:space="0" w:color="auto"/>
        <w:bottom w:val="none" w:sz="0" w:space="0" w:color="auto"/>
        <w:right w:val="none" w:sz="0" w:space="0" w:color="auto"/>
      </w:divBdr>
    </w:div>
    <w:div w:id="1100685616">
      <w:bodyDiv w:val="1"/>
      <w:marLeft w:val="0"/>
      <w:marRight w:val="0"/>
      <w:marTop w:val="0"/>
      <w:marBottom w:val="0"/>
      <w:divBdr>
        <w:top w:val="none" w:sz="0" w:space="0" w:color="auto"/>
        <w:left w:val="none" w:sz="0" w:space="0" w:color="auto"/>
        <w:bottom w:val="none" w:sz="0" w:space="0" w:color="auto"/>
        <w:right w:val="none" w:sz="0" w:space="0" w:color="auto"/>
      </w:divBdr>
    </w:div>
    <w:div w:id="1238590756">
      <w:bodyDiv w:val="1"/>
      <w:marLeft w:val="0"/>
      <w:marRight w:val="0"/>
      <w:marTop w:val="0"/>
      <w:marBottom w:val="0"/>
      <w:divBdr>
        <w:top w:val="none" w:sz="0" w:space="0" w:color="auto"/>
        <w:left w:val="none" w:sz="0" w:space="0" w:color="auto"/>
        <w:bottom w:val="none" w:sz="0" w:space="0" w:color="auto"/>
        <w:right w:val="none" w:sz="0" w:space="0" w:color="auto"/>
      </w:divBdr>
    </w:div>
    <w:div w:id="1243225761">
      <w:bodyDiv w:val="1"/>
      <w:marLeft w:val="0"/>
      <w:marRight w:val="0"/>
      <w:marTop w:val="0"/>
      <w:marBottom w:val="0"/>
      <w:divBdr>
        <w:top w:val="none" w:sz="0" w:space="0" w:color="auto"/>
        <w:left w:val="none" w:sz="0" w:space="0" w:color="auto"/>
        <w:bottom w:val="none" w:sz="0" w:space="0" w:color="auto"/>
        <w:right w:val="none" w:sz="0" w:space="0" w:color="auto"/>
      </w:divBdr>
    </w:div>
    <w:div w:id="1381974821">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 w:id="1392968020">
      <w:bodyDiv w:val="1"/>
      <w:marLeft w:val="0"/>
      <w:marRight w:val="0"/>
      <w:marTop w:val="0"/>
      <w:marBottom w:val="0"/>
      <w:divBdr>
        <w:top w:val="none" w:sz="0" w:space="0" w:color="auto"/>
        <w:left w:val="none" w:sz="0" w:space="0" w:color="auto"/>
        <w:bottom w:val="none" w:sz="0" w:space="0" w:color="auto"/>
        <w:right w:val="none" w:sz="0" w:space="0" w:color="auto"/>
      </w:divBdr>
    </w:div>
    <w:div w:id="1425565267">
      <w:bodyDiv w:val="1"/>
      <w:marLeft w:val="0"/>
      <w:marRight w:val="0"/>
      <w:marTop w:val="0"/>
      <w:marBottom w:val="0"/>
      <w:divBdr>
        <w:top w:val="none" w:sz="0" w:space="0" w:color="auto"/>
        <w:left w:val="none" w:sz="0" w:space="0" w:color="auto"/>
        <w:bottom w:val="none" w:sz="0" w:space="0" w:color="auto"/>
        <w:right w:val="none" w:sz="0" w:space="0" w:color="auto"/>
      </w:divBdr>
    </w:div>
    <w:div w:id="1498182013">
      <w:bodyDiv w:val="1"/>
      <w:marLeft w:val="0"/>
      <w:marRight w:val="0"/>
      <w:marTop w:val="0"/>
      <w:marBottom w:val="0"/>
      <w:divBdr>
        <w:top w:val="none" w:sz="0" w:space="0" w:color="auto"/>
        <w:left w:val="none" w:sz="0" w:space="0" w:color="auto"/>
        <w:bottom w:val="none" w:sz="0" w:space="0" w:color="auto"/>
        <w:right w:val="none" w:sz="0" w:space="0" w:color="auto"/>
      </w:divBdr>
    </w:div>
    <w:div w:id="1501967424">
      <w:bodyDiv w:val="1"/>
      <w:marLeft w:val="0"/>
      <w:marRight w:val="0"/>
      <w:marTop w:val="0"/>
      <w:marBottom w:val="0"/>
      <w:divBdr>
        <w:top w:val="none" w:sz="0" w:space="0" w:color="auto"/>
        <w:left w:val="none" w:sz="0" w:space="0" w:color="auto"/>
        <w:bottom w:val="none" w:sz="0" w:space="0" w:color="auto"/>
        <w:right w:val="none" w:sz="0" w:space="0" w:color="auto"/>
      </w:divBdr>
    </w:div>
    <w:div w:id="1719012770">
      <w:bodyDiv w:val="1"/>
      <w:marLeft w:val="0"/>
      <w:marRight w:val="0"/>
      <w:marTop w:val="0"/>
      <w:marBottom w:val="0"/>
      <w:divBdr>
        <w:top w:val="none" w:sz="0" w:space="0" w:color="auto"/>
        <w:left w:val="none" w:sz="0" w:space="0" w:color="auto"/>
        <w:bottom w:val="none" w:sz="0" w:space="0" w:color="auto"/>
        <w:right w:val="none" w:sz="0" w:space="0" w:color="auto"/>
      </w:divBdr>
    </w:div>
    <w:div w:id="1722747107">
      <w:bodyDiv w:val="1"/>
      <w:marLeft w:val="0"/>
      <w:marRight w:val="0"/>
      <w:marTop w:val="0"/>
      <w:marBottom w:val="0"/>
      <w:divBdr>
        <w:top w:val="none" w:sz="0" w:space="0" w:color="auto"/>
        <w:left w:val="none" w:sz="0" w:space="0" w:color="auto"/>
        <w:bottom w:val="none" w:sz="0" w:space="0" w:color="auto"/>
        <w:right w:val="none" w:sz="0" w:space="0" w:color="auto"/>
      </w:divBdr>
    </w:div>
    <w:div w:id="1769425027">
      <w:bodyDiv w:val="1"/>
      <w:marLeft w:val="0"/>
      <w:marRight w:val="0"/>
      <w:marTop w:val="0"/>
      <w:marBottom w:val="0"/>
      <w:divBdr>
        <w:top w:val="none" w:sz="0" w:space="0" w:color="auto"/>
        <w:left w:val="none" w:sz="0" w:space="0" w:color="auto"/>
        <w:bottom w:val="none" w:sz="0" w:space="0" w:color="auto"/>
        <w:right w:val="none" w:sz="0" w:space="0" w:color="auto"/>
      </w:divBdr>
    </w:div>
    <w:div w:id="1852791702">
      <w:bodyDiv w:val="1"/>
      <w:marLeft w:val="0"/>
      <w:marRight w:val="0"/>
      <w:marTop w:val="0"/>
      <w:marBottom w:val="0"/>
      <w:divBdr>
        <w:top w:val="none" w:sz="0" w:space="0" w:color="auto"/>
        <w:left w:val="none" w:sz="0" w:space="0" w:color="auto"/>
        <w:bottom w:val="none" w:sz="0" w:space="0" w:color="auto"/>
        <w:right w:val="none" w:sz="0" w:space="0" w:color="auto"/>
      </w:divBdr>
    </w:div>
    <w:div w:id="1886528100">
      <w:bodyDiv w:val="1"/>
      <w:marLeft w:val="0"/>
      <w:marRight w:val="0"/>
      <w:marTop w:val="0"/>
      <w:marBottom w:val="0"/>
      <w:divBdr>
        <w:top w:val="none" w:sz="0" w:space="0" w:color="auto"/>
        <w:left w:val="none" w:sz="0" w:space="0" w:color="auto"/>
        <w:bottom w:val="none" w:sz="0" w:space="0" w:color="auto"/>
        <w:right w:val="none" w:sz="0" w:space="0" w:color="auto"/>
      </w:divBdr>
    </w:div>
    <w:div w:id="1948852652">
      <w:bodyDiv w:val="1"/>
      <w:marLeft w:val="0"/>
      <w:marRight w:val="0"/>
      <w:marTop w:val="0"/>
      <w:marBottom w:val="0"/>
      <w:divBdr>
        <w:top w:val="none" w:sz="0" w:space="0" w:color="auto"/>
        <w:left w:val="none" w:sz="0" w:space="0" w:color="auto"/>
        <w:bottom w:val="none" w:sz="0" w:space="0" w:color="auto"/>
        <w:right w:val="none" w:sz="0" w:space="0" w:color="auto"/>
      </w:divBdr>
    </w:div>
    <w:div w:id="1995522462">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6B68AC7-405D-4D76-B0F7-2D8D2F02CFDE}"/>
</file>

<file path=customXml/itemProps2.xml><?xml version="1.0" encoding="utf-8"?>
<ds:datastoreItem xmlns:ds="http://schemas.openxmlformats.org/officeDocument/2006/customXml" ds:itemID="{6A37A24D-0ABD-49B0-9DEF-6D0BDDDC1FA0}"/>
</file>

<file path=customXml/itemProps3.xml><?xml version="1.0" encoding="utf-8"?>
<ds:datastoreItem xmlns:ds="http://schemas.openxmlformats.org/officeDocument/2006/customXml" ds:itemID="{AFD398A9-2C95-4CCE-9352-86448CB54090}"/>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5498</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cp:lastPrinted>2015-11-05T23:24:00Z</cp:lastPrinted>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