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F2" w:rsidRPr="006C2BD0" w:rsidRDefault="005708F2" w:rsidP="006C2BD0">
      <w:pPr>
        <w:tabs>
          <w:tab w:val="left" w:pos="3544"/>
        </w:tabs>
        <w:jc w:val="both"/>
        <w:rPr>
          <w:rFonts w:ascii="Arial" w:hAnsi="Arial" w:cs="Arial"/>
          <w:b/>
          <w:color w:val="212100"/>
          <w:sz w:val="22"/>
          <w:szCs w:val="22"/>
          <w:lang w:val="fr-FR"/>
        </w:rPr>
      </w:pPr>
      <w:bookmarkStart w:id="0" w:name="_GoBack"/>
      <w:bookmarkEnd w:id="0"/>
      <w:r w:rsidRPr="006C2BD0">
        <w:rPr>
          <w:rFonts w:ascii="Arial" w:hAnsi="Arial" w:cs="Arial"/>
          <w:b/>
          <w:color w:val="212100"/>
          <w:sz w:val="22"/>
          <w:szCs w:val="22"/>
          <w:lang w:val="fr-FR"/>
        </w:rPr>
        <w:t xml:space="preserve">Projet de loi </w:t>
      </w:r>
      <w:r w:rsidR="006C2BD0" w:rsidRPr="006C2BD0">
        <w:rPr>
          <w:rFonts w:ascii="Arial" w:hAnsi="Arial" w:cs="Arial"/>
          <w:b/>
          <w:noProof/>
          <w:sz w:val="22"/>
          <w:szCs w:val="22"/>
          <w:lang w:val="fr-FR"/>
        </w:rPr>
        <w:t xml:space="preserve">N°6454A </w:t>
      </w:r>
      <w:r w:rsidRPr="006C2BD0">
        <w:rPr>
          <w:rFonts w:ascii="Arial" w:hAnsi="Arial" w:cs="Arial"/>
          <w:b/>
          <w:color w:val="212100"/>
          <w:sz w:val="22"/>
          <w:szCs w:val="22"/>
          <w:lang w:val="fr-FR"/>
        </w:rPr>
        <w:t>portant modification de:</w:t>
      </w:r>
    </w:p>
    <w:p w:rsidR="005708F2" w:rsidRPr="006C2BD0" w:rsidRDefault="005708F2" w:rsidP="006C2BD0">
      <w:pPr>
        <w:pStyle w:val="Sansinterligne"/>
        <w:jc w:val="both"/>
        <w:rPr>
          <w:rFonts w:ascii="Arial" w:hAnsi="Arial" w:cs="Arial"/>
          <w:b/>
          <w:color w:val="212100"/>
          <w:sz w:val="22"/>
          <w:szCs w:val="22"/>
          <w:lang w:val="fr-FR"/>
        </w:rPr>
      </w:pPr>
      <w:r w:rsidRPr="006C2BD0">
        <w:rPr>
          <w:rFonts w:ascii="Arial" w:hAnsi="Arial" w:cs="Arial"/>
          <w:b/>
          <w:sz w:val="22"/>
          <w:szCs w:val="22"/>
          <w:lang w:val="fr-FR"/>
        </w:rPr>
        <w:t>1) l’article 15-1 de la loi modifiée du 27 juillet 1997 sur le contrat d’assurance</w:t>
      </w:r>
    </w:p>
    <w:p w:rsidR="005708F2" w:rsidRPr="006C2BD0" w:rsidRDefault="005708F2" w:rsidP="006C2BD0">
      <w:pPr>
        <w:pStyle w:val="Sansinterligne"/>
        <w:jc w:val="both"/>
        <w:rPr>
          <w:rFonts w:ascii="Arial" w:hAnsi="Arial" w:cs="Arial"/>
          <w:b/>
          <w:sz w:val="22"/>
          <w:szCs w:val="22"/>
          <w:lang w:val="fr-FR"/>
        </w:rPr>
      </w:pPr>
      <w:r w:rsidRPr="006C2BD0">
        <w:rPr>
          <w:rFonts w:ascii="Arial" w:hAnsi="Arial" w:cs="Arial"/>
          <w:b/>
          <w:color w:val="212100"/>
          <w:sz w:val="22"/>
          <w:szCs w:val="22"/>
          <w:lang w:val="fr-FR"/>
        </w:rPr>
        <w:t>2) la loi modifiée du 21 décembre 2007 portant</w:t>
      </w:r>
    </w:p>
    <w:p w:rsidR="005708F2" w:rsidRPr="006C2BD0" w:rsidRDefault="005708F2" w:rsidP="006C2BD0">
      <w:pPr>
        <w:pStyle w:val="Sansinterligne"/>
        <w:ind w:left="1440" w:hanging="720"/>
        <w:jc w:val="both"/>
        <w:rPr>
          <w:rFonts w:ascii="Arial" w:hAnsi="Arial" w:cs="Arial"/>
          <w:b/>
          <w:sz w:val="22"/>
          <w:szCs w:val="22"/>
          <w:lang w:val="fr-FR"/>
        </w:rPr>
      </w:pPr>
      <w:r w:rsidRPr="006C2BD0">
        <w:rPr>
          <w:rFonts w:ascii="Arial" w:eastAsia="Times New Roman" w:hAnsi="Arial" w:cs="Arial"/>
          <w:b/>
          <w:color w:val="212100"/>
          <w:sz w:val="22"/>
          <w:szCs w:val="22"/>
          <w:lang w:val="fr-FR"/>
        </w:rPr>
        <w:t xml:space="preserve">1. </w:t>
      </w:r>
      <w:r w:rsidRPr="006C2BD0">
        <w:rPr>
          <w:rFonts w:ascii="Arial" w:eastAsia="Times New Roman" w:hAnsi="Arial" w:cs="Arial"/>
          <w:b/>
          <w:color w:val="212100"/>
          <w:sz w:val="22"/>
          <w:szCs w:val="22"/>
          <w:lang w:val="fr-FR"/>
        </w:rPr>
        <w:tab/>
        <w:t>transposition de la directive 2004/113/CE du Conseil du 13 décembre 2004 mettant en œuvre le principe de l’égalité de traitement entre les femmes et les hommes dans l’accès à des biens et services et la fourniture de biens</w:t>
      </w:r>
      <w:r w:rsidRPr="006C2BD0">
        <w:rPr>
          <w:rFonts w:ascii="Arial" w:eastAsia="Times New Roman" w:hAnsi="Arial" w:cs="Arial"/>
          <w:b/>
          <w:color w:val="212100"/>
          <w:sz w:val="22"/>
          <w:szCs w:val="22"/>
          <w:lang w:val="fr-FR"/>
        </w:rPr>
        <w:br/>
        <w:t>et services;</w:t>
      </w:r>
    </w:p>
    <w:p w:rsidR="005708F2" w:rsidRPr="006C2BD0" w:rsidRDefault="005708F2" w:rsidP="006C2BD0">
      <w:pPr>
        <w:pStyle w:val="Sansinterligne"/>
        <w:ind w:firstLine="720"/>
        <w:jc w:val="both"/>
        <w:rPr>
          <w:rFonts w:ascii="Arial" w:eastAsia="Times New Roman" w:hAnsi="Arial" w:cs="Arial"/>
          <w:b/>
          <w:sz w:val="22"/>
          <w:szCs w:val="22"/>
          <w:lang w:val="fr-FR"/>
        </w:rPr>
      </w:pPr>
      <w:r w:rsidRPr="006C2BD0">
        <w:rPr>
          <w:rFonts w:ascii="Arial" w:eastAsia="Times New Roman" w:hAnsi="Arial" w:cs="Arial"/>
          <w:b/>
          <w:color w:val="212100"/>
          <w:sz w:val="22"/>
          <w:szCs w:val="22"/>
          <w:shd w:val="clear" w:color="auto" w:fill="FFFFFF"/>
          <w:lang w:val="fr-FR"/>
        </w:rPr>
        <w:t xml:space="preserve">2. </w:t>
      </w:r>
      <w:r w:rsidRPr="006C2BD0">
        <w:rPr>
          <w:rFonts w:ascii="Arial" w:eastAsia="Times New Roman" w:hAnsi="Arial" w:cs="Arial"/>
          <w:b/>
          <w:color w:val="212100"/>
          <w:sz w:val="22"/>
          <w:szCs w:val="22"/>
          <w:shd w:val="clear" w:color="auto" w:fill="FFFFFF"/>
          <w:lang w:val="fr-FR"/>
        </w:rPr>
        <w:tab/>
        <w:t>modification du Code pénal;</w:t>
      </w:r>
    </w:p>
    <w:p w:rsidR="005708F2" w:rsidRPr="006C2BD0" w:rsidRDefault="005708F2" w:rsidP="006C2BD0">
      <w:pPr>
        <w:pStyle w:val="Sansinterligne"/>
        <w:ind w:left="1440" w:hanging="720"/>
        <w:jc w:val="both"/>
        <w:rPr>
          <w:rFonts w:ascii="Arial" w:eastAsia="Times New Roman" w:hAnsi="Arial" w:cs="Arial"/>
          <w:b/>
          <w:sz w:val="22"/>
          <w:szCs w:val="22"/>
          <w:lang w:val="fr-FR"/>
        </w:rPr>
      </w:pPr>
      <w:r w:rsidRPr="006C2BD0">
        <w:rPr>
          <w:rFonts w:ascii="Arial" w:eastAsia="Times New Roman" w:hAnsi="Arial" w:cs="Arial"/>
          <w:b/>
          <w:color w:val="212100"/>
          <w:sz w:val="22"/>
          <w:szCs w:val="22"/>
          <w:lang w:val="fr-FR"/>
        </w:rPr>
        <w:t xml:space="preserve">3. </w:t>
      </w:r>
      <w:r w:rsidRPr="006C2BD0">
        <w:rPr>
          <w:rFonts w:ascii="Arial" w:eastAsia="Times New Roman" w:hAnsi="Arial" w:cs="Arial"/>
          <w:b/>
          <w:color w:val="212100"/>
          <w:sz w:val="22"/>
          <w:szCs w:val="22"/>
          <w:lang w:val="fr-FR"/>
        </w:rPr>
        <w:tab/>
        <w:t>modification de la loi modifiée du 27 juillet 1997 sur le contrat d’assurance</w:t>
      </w:r>
    </w:p>
    <w:p w:rsidR="00115785" w:rsidRPr="006C2BD0" w:rsidRDefault="00115785" w:rsidP="006C2BD0">
      <w:pPr>
        <w:widowControl w:val="0"/>
        <w:autoSpaceDE w:val="0"/>
        <w:autoSpaceDN w:val="0"/>
        <w:adjustRightInd w:val="0"/>
        <w:rPr>
          <w:rFonts w:ascii="Arial" w:eastAsia="Times New Roman" w:hAnsi="Arial" w:cs="Arial"/>
          <w:color w:val="000000"/>
          <w:sz w:val="22"/>
          <w:szCs w:val="22"/>
          <w:lang w:val="fr-LU"/>
        </w:rPr>
      </w:pPr>
    </w:p>
    <w:p w:rsidR="00893452" w:rsidRPr="006C7DFD" w:rsidRDefault="00893452" w:rsidP="006C2BD0">
      <w:pPr>
        <w:jc w:val="both"/>
        <w:rPr>
          <w:rFonts w:ascii="Arial" w:hAnsi="Arial" w:cs="Arial"/>
          <w:sz w:val="22"/>
          <w:szCs w:val="22"/>
          <w:lang w:val="fr-FR"/>
        </w:rPr>
      </w:pPr>
      <w:r w:rsidRPr="006C7DFD">
        <w:rPr>
          <w:rFonts w:ascii="Arial" w:hAnsi="Arial" w:cs="Arial"/>
          <w:sz w:val="22"/>
          <w:szCs w:val="22"/>
          <w:lang w:val="fr-FR"/>
        </w:rPr>
        <w:t>Le projet de loi n° 6454A est le résultat de la scission du projet de loi n°6454 en deux projets de loi distincts :</w:t>
      </w:r>
    </w:p>
    <w:p w:rsidR="00893452" w:rsidRPr="006C7DFD" w:rsidRDefault="00893452" w:rsidP="006C2BD0">
      <w:pPr>
        <w:jc w:val="both"/>
        <w:rPr>
          <w:rFonts w:ascii="Arial" w:hAnsi="Arial" w:cs="Arial"/>
          <w:sz w:val="22"/>
          <w:szCs w:val="22"/>
          <w:lang w:val="fr-FR"/>
        </w:rPr>
      </w:pPr>
    </w:p>
    <w:p w:rsidR="00893452" w:rsidRPr="006C7DFD" w:rsidRDefault="00893452" w:rsidP="006C2BD0">
      <w:pPr>
        <w:numPr>
          <w:ilvl w:val="0"/>
          <w:numId w:val="33"/>
        </w:numPr>
        <w:jc w:val="both"/>
        <w:rPr>
          <w:rFonts w:ascii="Arial" w:hAnsi="Arial" w:cs="Arial"/>
          <w:sz w:val="22"/>
          <w:szCs w:val="22"/>
          <w:lang w:val="fr-FR"/>
        </w:rPr>
      </w:pPr>
      <w:r w:rsidRPr="006C7DFD">
        <w:rPr>
          <w:rFonts w:ascii="Arial" w:hAnsi="Arial" w:cs="Arial"/>
          <w:sz w:val="22"/>
          <w:szCs w:val="22"/>
          <w:lang w:val="fr-FR"/>
        </w:rPr>
        <w:t>un projet de loi 6454A reprenant les dispositions destinées à répondre aux exigences de l’arrêt C-236/09 (Test-Achats) de la Cour de justice de l’Union européenne (CJUE) ayant déclaré invalide une disposition de la directive 2004/113/CE traitant de l’égalité</w:t>
      </w:r>
      <w:r w:rsidR="006C7DFD">
        <w:rPr>
          <w:rFonts w:ascii="Arial" w:hAnsi="Arial" w:cs="Arial"/>
          <w:sz w:val="22"/>
          <w:szCs w:val="22"/>
          <w:lang w:val="fr-FR"/>
        </w:rPr>
        <w:t xml:space="preserve"> entre les femmes et les hommes ;</w:t>
      </w:r>
    </w:p>
    <w:p w:rsidR="00893452" w:rsidRPr="006C7DFD" w:rsidRDefault="00893452" w:rsidP="006C2BD0">
      <w:pPr>
        <w:numPr>
          <w:ilvl w:val="0"/>
          <w:numId w:val="33"/>
        </w:numPr>
        <w:jc w:val="both"/>
        <w:rPr>
          <w:rFonts w:ascii="Arial" w:hAnsi="Arial" w:cs="Arial"/>
          <w:sz w:val="22"/>
          <w:szCs w:val="22"/>
          <w:lang w:val="fr-FR"/>
        </w:rPr>
      </w:pPr>
      <w:r w:rsidRPr="006C7DFD">
        <w:rPr>
          <w:rFonts w:ascii="Arial" w:hAnsi="Arial" w:cs="Arial"/>
          <w:sz w:val="22"/>
          <w:szCs w:val="22"/>
          <w:lang w:val="fr-FR"/>
        </w:rPr>
        <w:t>un projet de loi 6454B reprenant toutes les autres dispositions du projet de loi initial n° 6454.</w:t>
      </w:r>
    </w:p>
    <w:p w:rsidR="00893452" w:rsidRPr="006C7DFD" w:rsidRDefault="00893452" w:rsidP="006C2BD0">
      <w:pPr>
        <w:ind w:left="720"/>
        <w:jc w:val="both"/>
        <w:rPr>
          <w:rFonts w:ascii="Arial" w:hAnsi="Arial" w:cs="Arial"/>
          <w:sz w:val="22"/>
          <w:szCs w:val="22"/>
          <w:lang w:val="fr-FR"/>
        </w:rPr>
      </w:pPr>
    </w:p>
    <w:p w:rsidR="00AE2421" w:rsidRPr="000B3A5E" w:rsidRDefault="00893452" w:rsidP="006C2BD0">
      <w:pPr>
        <w:pStyle w:val="Pa10"/>
        <w:spacing w:line="240" w:lineRule="auto"/>
        <w:jc w:val="both"/>
        <w:rPr>
          <w:rFonts w:ascii="Arial" w:eastAsia="Times New Roman" w:hAnsi="Arial" w:cs="Arial"/>
          <w:color w:val="000000"/>
          <w:sz w:val="22"/>
          <w:szCs w:val="22"/>
        </w:rPr>
      </w:pPr>
      <w:r w:rsidRPr="006C7DFD">
        <w:rPr>
          <w:rFonts w:ascii="Arial" w:hAnsi="Arial" w:cs="Arial"/>
          <w:sz w:val="22"/>
          <w:szCs w:val="22"/>
          <w:lang w:val="fr-FR"/>
        </w:rPr>
        <w:t xml:space="preserve">Etant donné le retard dans la procédure d’adoption du projet de loi n° 6456 instituant la nouvelle loi sur le secteur des assurances, auquel est lié le projet de loi n° 6454 de par son entrée en vigueur, et au regard de la pression pesant sur le Luxembourg de </w:t>
      </w:r>
      <w:r w:rsidRPr="00653B51">
        <w:rPr>
          <w:rFonts w:ascii="Arial" w:hAnsi="Arial" w:cs="Arial"/>
          <w:sz w:val="22"/>
          <w:szCs w:val="22"/>
          <w:lang w:val="fr-FR"/>
        </w:rPr>
        <w:t>mettre en conformité sa législation nationale avec les exigences de l’arrêt de la CJUE précité, il a en effet été jugé nécessaire de scinder le projet n° 6454 tel que proposé par la Conseil d’Etat dans son avis du 22 janvier 2013 et de donner priorité au</w:t>
      </w:r>
      <w:r w:rsidR="006C7DFD" w:rsidRPr="00653B51">
        <w:rPr>
          <w:rFonts w:ascii="Arial" w:hAnsi="Arial" w:cs="Arial"/>
          <w:sz w:val="22"/>
          <w:szCs w:val="22"/>
          <w:lang w:val="fr-FR"/>
        </w:rPr>
        <w:t xml:space="preserve"> dépôt du projet de loi n° 6454</w:t>
      </w:r>
      <w:r w:rsidRPr="00653B51">
        <w:rPr>
          <w:rFonts w:ascii="Arial" w:hAnsi="Arial" w:cs="Arial"/>
          <w:sz w:val="22"/>
          <w:szCs w:val="22"/>
          <w:lang w:val="fr-FR"/>
        </w:rPr>
        <w:t>A.</w:t>
      </w:r>
      <w:r w:rsidR="00AE2421">
        <w:rPr>
          <w:rFonts w:ascii="Arial" w:hAnsi="Arial" w:cs="Arial"/>
          <w:sz w:val="22"/>
          <w:szCs w:val="22"/>
          <w:lang w:val="fr-FR"/>
        </w:rPr>
        <w:t xml:space="preserve"> </w:t>
      </w:r>
    </w:p>
    <w:p w:rsidR="006C7DFD" w:rsidRPr="00653B51" w:rsidRDefault="006C7DFD" w:rsidP="006C2BD0">
      <w:pPr>
        <w:jc w:val="both"/>
        <w:rPr>
          <w:rFonts w:ascii="Arial" w:hAnsi="Arial" w:cs="Arial"/>
          <w:sz w:val="22"/>
          <w:szCs w:val="22"/>
          <w:lang w:val="fr-FR"/>
        </w:rPr>
      </w:pPr>
    </w:p>
    <w:p w:rsidR="00653B51" w:rsidRPr="00653B51" w:rsidRDefault="006C7DFD" w:rsidP="006C2BD0">
      <w:pPr>
        <w:widowControl w:val="0"/>
        <w:autoSpaceDE w:val="0"/>
        <w:autoSpaceDN w:val="0"/>
        <w:adjustRightInd w:val="0"/>
        <w:jc w:val="both"/>
        <w:rPr>
          <w:rFonts w:ascii="Arial" w:eastAsia="Times New Roman" w:hAnsi="Arial" w:cs="Arial"/>
          <w:i/>
          <w:sz w:val="22"/>
          <w:szCs w:val="22"/>
          <w:lang w:val="fr-FR"/>
        </w:rPr>
      </w:pPr>
      <w:r w:rsidRPr="00653B51">
        <w:rPr>
          <w:rFonts w:ascii="Arial" w:hAnsi="Arial" w:cs="Arial"/>
          <w:sz w:val="22"/>
          <w:szCs w:val="22"/>
          <w:lang w:val="fr-FR"/>
        </w:rPr>
        <w:t xml:space="preserve">Le projet de loi sous rubrique a par conséquent comme objet de rendre les dispositions luxembourgeoises </w:t>
      </w:r>
      <w:r w:rsidR="00962611">
        <w:rPr>
          <w:rFonts w:ascii="Arial" w:hAnsi="Arial" w:cs="Arial"/>
          <w:sz w:val="22"/>
          <w:szCs w:val="22"/>
          <w:lang w:val="fr-FR"/>
        </w:rPr>
        <w:t>conforme</w:t>
      </w:r>
      <w:r w:rsidR="00F22669">
        <w:rPr>
          <w:rFonts w:ascii="Arial" w:hAnsi="Arial" w:cs="Arial"/>
          <w:sz w:val="22"/>
          <w:szCs w:val="22"/>
          <w:lang w:val="fr-FR"/>
        </w:rPr>
        <w:t>s</w:t>
      </w:r>
      <w:r w:rsidR="00962611">
        <w:rPr>
          <w:rFonts w:ascii="Arial" w:hAnsi="Arial" w:cs="Arial"/>
          <w:sz w:val="22"/>
          <w:szCs w:val="22"/>
          <w:lang w:val="fr-FR"/>
        </w:rPr>
        <w:t xml:space="preserve"> </w:t>
      </w:r>
      <w:r w:rsidRPr="00653B51">
        <w:rPr>
          <w:rFonts w:ascii="Arial" w:hAnsi="Arial" w:cs="Arial"/>
          <w:sz w:val="22"/>
          <w:szCs w:val="22"/>
          <w:lang w:val="fr-FR"/>
        </w:rPr>
        <w:t>avec l</w:t>
      </w:r>
      <w:r w:rsidRPr="00653B51">
        <w:rPr>
          <w:rFonts w:ascii="Arial" w:eastAsia="Times New Roman" w:hAnsi="Arial" w:cs="Arial"/>
          <w:sz w:val="22"/>
          <w:szCs w:val="22"/>
          <w:lang w:val="fr-FR"/>
        </w:rPr>
        <w:t>a directive 2004/113/CE</w:t>
      </w:r>
      <w:r w:rsidR="00F22669">
        <w:rPr>
          <w:rFonts w:ascii="Arial" w:eastAsia="Times New Roman" w:hAnsi="Arial" w:cs="Arial"/>
          <w:sz w:val="22"/>
          <w:szCs w:val="22"/>
          <w:lang w:val="fr-FR"/>
        </w:rPr>
        <w:t xml:space="preserve"> </w:t>
      </w:r>
      <w:r w:rsidRPr="00653B51">
        <w:rPr>
          <w:rFonts w:ascii="Arial" w:eastAsia="Times New Roman" w:hAnsi="Arial" w:cs="Arial"/>
          <w:sz w:val="22"/>
          <w:szCs w:val="22"/>
          <w:lang w:val="fr-FR"/>
        </w:rPr>
        <w:t>interdisant</w:t>
      </w:r>
      <w:r w:rsidR="00653B51" w:rsidRPr="00653B51">
        <w:rPr>
          <w:rFonts w:ascii="Arial" w:eastAsia="Times New Roman" w:hAnsi="Arial" w:cs="Arial"/>
          <w:sz w:val="22"/>
          <w:szCs w:val="22"/>
          <w:lang w:val="fr-FR"/>
        </w:rPr>
        <w:t xml:space="preserve">, en </w:t>
      </w:r>
      <w:r w:rsidR="00E43EC8" w:rsidRPr="00653B51">
        <w:rPr>
          <w:rFonts w:ascii="Arial" w:eastAsia="Times New Roman" w:hAnsi="Arial" w:cs="Arial"/>
          <w:sz w:val="22"/>
          <w:szCs w:val="22"/>
          <w:lang w:val="fr-FR"/>
        </w:rPr>
        <w:t>principe</w:t>
      </w:r>
      <w:r w:rsidR="00653B51" w:rsidRPr="00653B51">
        <w:rPr>
          <w:rFonts w:ascii="Arial" w:eastAsia="Times New Roman" w:hAnsi="Arial" w:cs="Arial"/>
          <w:sz w:val="22"/>
          <w:szCs w:val="22"/>
          <w:lang w:val="fr-FR"/>
        </w:rPr>
        <w:t>,</w:t>
      </w:r>
      <w:r w:rsidRPr="00653B51">
        <w:rPr>
          <w:rFonts w:ascii="Arial" w:eastAsia="Times New Roman" w:hAnsi="Arial" w:cs="Arial"/>
          <w:sz w:val="22"/>
          <w:szCs w:val="22"/>
          <w:lang w:val="fr-FR"/>
        </w:rPr>
        <w:t xml:space="preserve"> toute discrimination fondée sur le sexe dans l’accès à des biens et services et dans la fourniture de biens et services. </w:t>
      </w:r>
      <w:r w:rsidR="00653B51" w:rsidRPr="00653B51">
        <w:rPr>
          <w:rFonts w:ascii="Arial" w:eastAsia="Times New Roman" w:hAnsi="Arial" w:cs="Arial"/>
          <w:sz w:val="22"/>
          <w:szCs w:val="22"/>
          <w:lang w:val="fr-FR"/>
        </w:rPr>
        <w:t>Or, l’article 5, paragraphe 2 de la</w:t>
      </w:r>
      <w:r w:rsidR="00962611">
        <w:rPr>
          <w:rFonts w:ascii="Arial" w:eastAsia="Times New Roman" w:hAnsi="Arial" w:cs="Arial"/>
          <w:sz w:val="22"/>
          <w:szCs w:val="22"/>
          <w:lang w:val="fr-FR"/>
        </w:rPr>
        <w:t>dite</w:t>
      </w:r>
      <w:r w:rsidR="00653B51" w:rsidRPr="00653B51">
        <w:rPr>
          <w:rFonts w:ascii="Arial" w:eastAsia="Times New Roman" w:hAnsi="Arial" w:cs="Arial"/>
          <w:sz w:val="22"/>
          <w:szCs w:val="22"/>
          <w:lang w:val="fr-FR"/>
        </w:rPr>
        <w:t xml:space="preserve"> directive prévoit également une exception à cette règle générale. En effet,</w:t>
      </w:r>
      <w:r w:rsidR="00A07C9B">
        <w:rPr>
          <w:rFonts w:ascii="Arial" w:eastAsia="Times New Roman" w:hAnsi="Arial" w:cs="Arial"/>
          <w:sz w:val="22"/>
          <w:szCs w:val="22"/>
          <w:lang w:val="fr-FR"/>
        </w:rPr>
        <w:t xml:space="preserve"> </w:t>
      </w:r>
      <w:r w:rsidR="00653B51" w:rsidRPr="00653B51">
        <w:rPr>
          <w:rFonts w:ascii="Arial" w:eastAsia="Times New Roman" w:hAnsi="Arial" w:cs="Arial"/>
          <w:i/>
          <w:sz w:val="22"/>
          <w:szCs w:val="22"/>
          <w:lang w:val="fr-FR"/>
        </w:rPr>
        <w:t>(…) les États membres peuvent décider avant le 21 décembre 2007 d’autoriser des différences proportionnelles en matière de primes et de prestations pour les assurés lorsque le sexe est un facteur déterminant dans l’évaluation des risques, sur la base de données actuarielles et statistiques pertinentes et précises (…)</w:t>
      </w:r>
      <w:r w:rsidR="00F22669">
        <w:rPr>
          <w:rFonts w:ascii="Arial" w:eastAsia="Times New Roman" w:hAnsi="Arial" w:cs="Arial"/>
          <w:i/>
          <w:sz w:val="22"/>
          <w:szCs w:val="22"/>
          <w:lang w:val="fr-FR"/>
        </w:rPr>
        <w:t>.</w:t>
      </w:r>
    </w:p>
    <w:p w:rsidR="006C2BD0" w:rsidRDefault="006C2BD0" w:rsidP="006C2BD0">
      <w:pPr>
        <w:widowControl w:val="0"/>
        <w:autoSpaceDE w:val="0"/>
        <w:autoSpaceDN w:val="0"/>
        <w:adjustRightInd w:val="0"/>
        <w:jc w:val="both"/>
        <w:rPr>
          <w:rFonts w:ascii="Arial" w:eastAsia="Times New Roman" w:hAnsi="Arial" w:cs="Arial"/>
          <w:sz w:val="22"/>
          <w:szCs w:val="22"/>
          <w:lang w:val="fr-FR"/>
        </w:rPr>
      </w:pPr>
    </w:p>
    <w:p w:rsidR="006C2BD0" w:rsidRDefault="00653B51" w:rsidP="006C2BD0">
      <w:pPr>
        <w:widowControl w:val="0"/>
        <w:autoSpaceDE w:val="0"/>
        <w:autoSpaceDN w:val="0"/>
        <w:adjustRightInd w:val="0"/>
        <w:jc w:val="both"/>
        <w:rPr>
          <w:rFonts w:ascii="Arial" w:eastAsia="Times New Roman" w:hAnsi="Arial" w:cs="Arial"/>
          <w:sz w:val="22"/>
          <w:szCs w:val="22"/>
          <w:lang w:val="fr-FR"/>
        </w:rPr>
      </w:pPr>
      <w:r w:rsidRPr="00653B51">
        <w:rPr>
          <w:rFonts w:ascii="Arial" w:eastAsia="Times New Roman" w:hAnsi="Arial" w:cs="Arial"/>
          <w:sz w:val="22"/>
          <w:szCs w:val="22"/>
          <w:lang w:val="fr-FR"/>
        </w:rPr>
        <w:t xml:space="preserve">L’association belge des consommateurs Test-Achats ASBL et deux particuliers ont saisi la Cour constitutionnelle (Belgique) d’un recours en annulation de la loi belge transposant la directive en </w:t>
      </w:r>
      <w:r w:rsidRPr="00E43EC8">
        <w:rPr>
          <w:rFonts w:ascii="Arial" w:eastAsia="Times New Roman" w:hAnsi="Arial" w:cs="Arial"/>
          <w:sz w:val="22"/>
          <w:szCs w:val="22"/>
          <w:lang w:val="fr-FR"/>
        </w:rPr>
        <w:t>question.</w:t>
      </w:r>
      <w:r w:rsidR="00F22669">
        <w:rPr>
          <w:rFonts w:ascii="Arial" w:eastAsia="Times New Roman" w:hAnsi="Arial" w:cs="Arial"/>
          <w:sz w:val="22"/>
          <w:szCs w:val="22"/>
          <w:lang w:val="fr-FR"/>
        </w:rPr>
        <w:t xml:space="preserve"> </w:t>
      </w:r>
      <w:r w:rsidRPr="00E43EC8">
        <w:rPr>
          <w:rFonts w:ascii="Arial" w:eastAsia="Times New Roman" w:hAnsi="Arial" w:cs="Arial"/>
          <w:sz w:val="22"/>
          <w:szCs w:val="22"/>
          <w:lang w:val="fr-FR"/>
        </w:rPr>
        <w:t>Dans son arrêt du 1</w:t>
      </w:r>
      <w:r w:rsidRPr="00962611">
        <w:rPr>
          <w:rFonts w:ascii="Arial" w:eastAsia="Times New Roman" w:hAnsi="Arial" w:cs="Arial"/>
          <w:sz w:val="22"/>
          <w:szCs w:val="22"/>
          <w:vertAlign w:val="superscript"/>
          <w:lang w:val="fr-FR"/>
        </w:rPr>
        <w:t>er</w:t>
      </w:r>
      <w:r w:rsidRPr="00E43EC8">
        <w:rPr>
          <w:rFonts w:ascii="Arial" w:eastAsia="Times New Roman" w:hAnsi="Arial" w:cs="Arial"/>
          <w:sz w:val="22"/>
          <w:szCs w:val="22"/>
          <w:lang w:val="fr-FR"/>
        </w:rPr>
        <w:t xml:space="preserve"> mars 2011</w:t>
      </w:r>
      <w:r w:rsidR="00E43EC8" w:rsidRPr="00E43EC8">
        <w:rPr>
          <w:rFonts w:ascii="Arial" w:eastAsia="Times New Roman" w:hAnsi="Arial" w:cs="Arial"/>
          <w:sz w:val="22"/>
          <w:szCs w:val="22"/>
          <w:lang w:val="fr-FR"/>
        </w:rPr>
        <w:t xml:space="preserve"> (</w:t>
      </w:r>
      <w:r w:rsidR="00E43EC8" w:rsidRPr="00901A3C">
        <w:rPr>
          <w:rFonts w:ascii="Arial" w:eastAsia="Times New Roman" w:hAnsi="Arial" w:cs="Arial"/>
          <w:sz w:val="22"/>
          <w:szCs w:val="22"/>
          <w:lang w:val="fr-LU"/>
        </w:rPr>
        <w:t>affaire C-236/09)</w:t>
      </w:r>
      <w:r w:rsidRPr="00E43EC8">
        <w:rPr>
          <w:rFonts w:ascii="Arial" w:eastAsia="Times New Roman" w:hAnsi="Arial" w:cs="Arial"/>
          <w:sz w:val="22"/>
          <w:szCs w:val="22"/>
          <w:lang w:val="fr-FR"/>
        </w:rPr>
        <w:t>, la Cour de justice de l’Union européenne, après des réflexions d’ordre technique, a estimé qu’une disposition qui permet aux États membres concernés de maintenir sans limitation dans le temps une dérogation à la règle des primes</w:t>
      </w:r>
      <w:r w:rsidRPr="00653B51">
        <w:rPr>
          <w:rFonts w:ascii="Arial" w:eastAsia="Times New Roman" w:hAnsi="Arial" w:cs="Arial"/>
          <w:sz w:val="22"/>
          <w:szCs w:val="22"/>
          <w:lang w:val="fr-FR"/>
        </w:rPr>
        <w:t xml:space="preserve"> et des prestations unisexes, est </w:t>
      </w:r>
      <w:r w:rsidRPr="00653B51">
        <w:rPr>
          <w:rFonts w:ascii="Arial" w:eastAsia="Times New Roman" w:hAnsi="Arial" w:cs="Arial"/>
          <w:bCs/>
          <w:sz w:val="22"/>
          <w:szCs w:val="22"/>
          <w:lang w:val="fr-FR"/>
        </w:rPr>
        <w:t>contraire à la réalisation de l’objectif d’égalité de traitement entre les femmes et les hommes</w:t>
      </w:r>
      <w:r w:rsidRPr="00653B51">
        <w:rPr>
          <w:rFonts w:ascii="Arial" w:eastAsia="Times New Roman" w:hAnsi="Arial" w:cs="Arial"/>
          <w:sz w:val="22"/>
          <w:szCs w:val="22"/>
          <w:lang w:val="fr-FR"/>
        </w:rPr>
        <w:t xml:space="preserve">, et </w:t>
      </w:r>
      <w:r w:rsidRPr="00653B51">
        <w:rPr>
          <w:rFonts w:ascii="Arial" w:eastAsia="Times New Roman" w:hAnsi="Arial" w:cs="Arial"/>
          <w:bCs/>
          <w:sz w:val="22"/>
          <w:szCs w:val="22"/>
          <w:lang w:val="fr-FR"/>
        </w:rPr>
        <w:t>doit être considérée comme invalide à l’expiration d’une période de transition adéquate</w:t>
      </w:r>
      <w:r w:rsidRPr="00653B51">
        <w:rPr>
          <w:rFonts w:ascii="Arial" w:eastAsia="Times New Roman" w:hAnsi="Arial" w:cs="Arial"/>
          <w:sz w:val="22"/>
          <w:szCs w:val="22"/>
          <w:lang w:val="fr-FR"/>
        </w:rPr>
        <w:t xml:space="preserve">. Par conséquent, la Cour a déclaré que, dans le secteur des services des assurances, la </w:t>
      </w:r>
      <w:r w:rsidRPr="00653B51">
        <w:rPr>
          <w:rFonts w:ascii="Arial" w:eastAsia="Times New Roman" w:hAnsi="Arial" w:cs="Arial"/>
          <w:bCs/>
          <w:sz w:val="22"/>
          <w:szCs w:val="22"/>
          <w:lang w:val="fr-FR"/>
        </w:rPr>
        <w:t xml:space="preserve">dérogation </w:t>
      </w:r>
      <w:r w:rsidRPr="00653B51">
        <w:rPr>
          <w:rFonts w:ascii="Arial" w:eastAsia="Times New Roman" w:hAnsi="Arial" w:cs="Arial"/>
          <w:sz w:val="22"/>
          <w:szCs w:val="22"/>
          <w:lang w:val="fr-FR"/>
        </w:rPr>
        <w:t xml:space="preserve">à la règle générale des primes et des prestations unisexes est </w:t>
      </w:r>
      <w:r w:rsidRPr="00653B51">
        <w:rPr>
          <w:rFonts w:ascii="Arial" w:eastAsia="Times New Roman" w:hAnsi="Arial" w:cs="Arial"/>
          <w:bCs/>
          <w:sz w:val="22"/>
          <w:szCs w:val="22"/>
          <w:lang w:val="fr-FR"/>
        </w:rPr>
        <w:t>invalide avec effet au 21 décembre 2012</w:t>
      </w:r>
      <w:r w:rsidRPr="00653B51">
        <w:rPr>
          <w:rFonts w:ascii="Arial" w:eastAsia="Times New Roman" w:hAnsi="Arial" w:cs="Arial"/>
          <w:sz w:val="22"/>
          <w:szCs w:val="22"/>
          <w:lang w:val="fr-FR"/>
        </w:rPr>
        <w:t xml:space="preserve">. </w:t>
      </w:r>
    </w:p>
    <w:p w:rsidR="006C2BD0" w:rsidRDefault="006C2BD0" w:rsidP="006C2BD0">
      <w:pPr>
        <w:widowControl w:val="0"/>
        <w:autoSpaceDE w:val="0"/>
        <w:autoSpaceDN w:val="0"/>
        <w:adjustRightInd w:val="0"/>
        <w:jc w:val="both"/>
        <w:rPr>
          <w:rFonts w:ascii="Arial" w:eastAsia="Times New Roman" w:hAnsi="Arial" w:cs="Arial"/>
          <w:sz w:val="22"/>
          <w:szCs w:val="22"/>
          <w:lang w:val="fr-FR"/>
        </w:rPr>
      </w:pPr>
    </w:p>
    <w:p w:rsidR="00ED4B0F" w:rsidRPr="006C2BD0" w:rsidRDefault="00E43EC8" w:rsidP="006C2BD0">
      <w:pPr>
        <w:widowControl w:val="0"/>
        <w:autoSpaceDE w:val="0"/>
        <w:autoSpaceDN w:val="0"/>
        <w:adjustRightInd w:val="0"/>
        <w:jc w:val="both"/>
        <w:rPr>
          <w:rFonts w:ascii="Arial" w:eastAsia="Times New Roman" w:hAnsi="Arial" w:cs="Arial"/>
          <w:sz w:val="22"/>
          <w:szCs w:val="22"/>
          <w:lang w:val="fr-FR"/>
        </w:rPr>
      </w:pPr>
      <w:r>
        <w:rPr>
          <w:rFonts w:ascii="Arial" w:eastAsia="Times New Roman" w:hAnsi="Arial" w:cs="Arial"/>
          <w:sz w:val="22"/>
          <w:szCs w:val="22"/>
          <w:lang w:val="fr-FR"/>
        </w:rPr>
        <w:t xml:space="preserve">Les adaptations proposées par le projet de loi sous rubrique interdisent en conséquence l’utilisation du sexe comme facteur de différenciation dans le </w:t>
      </w:r>
      <w:r w:rsidR="00962611">
        <w:rPr>
          <w:rFonts w:ascii="Arial" w:eastAsia="Times New Roman" w:hAnsi="Arial" w:cs="Arial"/>
          <w:sz w:val="22"/>
          <w:szCs w:val="22"/>
          <w:lang w:val="fr-FR"/>
        </w:rPr>
        <w:t>calcul des primes et des prestations d’assurances.</w:t>
      </w:r>
    </w:p>
    <w:sectPr w:rsidR="00ED4B0F" w:rsidRPr="006C2BD0"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2D" w:rsidRDefault="00523E2D" w:rsidP="00B775CB">
      <w:r>
        <w:separator/>
      </w:r>
    </w:p>
  </w:endnote>
  <w:endnote w:type="continuationSeparator" w:id="0">
    <w:p w:rsidR="00523E2D" w:rsidRDefault="00523E2D"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D3" w:rsidRDefault="005D231F" w:rsidP="00215286">
    <w:pPr>
      <w:pStyle w:val="Pieddepage"/>
      <w:framePr w:wrap="around" w:vAnchor="text" w:hAnchor="margin" w:xAlign="right" w:y="1"/>
      <w:rPr>
        <w:rStyle w:val="Numrodepage"/>
      </w:rPr>
    </w:pPr>
    <w:r>
      <w:rPr>
        <w:rStyle w:val="Numrodepage"/>
      </w:rPr>
      <w:fldChar w:fldCharType="begin"/>
    </w:r>
    <w:r w:rsidR="00672DD3">
      <w:rPr>
        <w:rStyle w:val="Numrodepage"/>
      </w:rPr>
      <w:instrText xml:space="preserve">PAGE  </w:instrText>
    </w:r>
    <w:r>
      <w:rPr>
        <w:rStyle w:val="Numrodepage"/>
      </w:rPr>
      <w:fldChar w:fldCharType="end"/>
    </w:r>
  </w:p>
  <w:p w:rsidR="00672DD3" w:rsidRDefault="005D231F" w:rsidP="003E0B79">
    <w:pPr>
      <w:pStyle w:val="Pieddepage"/>
      <w:framePr w:wrap="around" w:vAnchor="text" w:hAnchor="margin" w:xAlign="right" w:y="1"/>
      <w:ind w:right="360"/>
      <w:rPr>
        <w:rStyle w:val="Numrodepage"/>
      </w:rPr>
    </w:pPr>
    <w:r>
      <w:rPr>
        <w:rStyle w:val="Numrodepage"/>
      </w:rPr>
      <w:fldChar w:fldCharType="begin"/>
    </w:r>
    <w:r w:rsidR="00672DD3">
      <w:rPr>
        <w:rStyle w:val="Numrodepage"/>
      </w:rPr>
      <w:instrText xml:space="preserve">PAGE  </w:instrText>
    </w:r>
    <w:r>
      <w:rPr>
        <w:rStyle w:val="Numrodepage"/>
      </w:rPr>
      <w:fldChar w:fldCharType="end"/>
    </w:r>
  </w:p>
  <w:p w:rsidR="00672DD3" w:rsidRDefault="00672DD3"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D3" w:rsidRDefault="005D231F" w:rsidP="00A2499A">
    <w:pPr>
      <w:pStyle w:val="Pieddepage"/>
      <w:framePr w:wrap="around" w:vAnchor="text" w:hAnchor="margin" w:xAlign="right" w:y="1"/>
      <w:rPr>
        <w:rStyle w:val="Numrodepage"/>
      </w:rPr>
    </w:pPr>
    <w:r>
      <w:rPr>
        <w:rStyle w:val="Numrodepage"/>
      </w:rPr>
      <w:fldChar w:fldCharType="begin"/>
    </w:r>
    <w:r w:rsidR="00672DD3">
      <w:rPr>
        <w:rStyle w:val="Numrodepage"/>
      </w:rPr>
      <w:instrText xml:space="preserve">PAGE  </w:instrText>
    </w:r>
    <w:r>
      <w:rPr>
        <w:rStyle w:val="Numrodepage"/>
      </w:rPr>
      <w:fldChar w:fldCharType="separate"/>
    </w:r>
    <w:r w:rsidR="00A41C04">
      <w:rPr>
        <w:rStyle w:val="Numrodepage"/>
        <w:noProof/>
      </w:rPr>
      <w:t>1</w:t>
    </w:r>
    <w:r>
      <w:rPr>
        <w:rStyle w:val="Numrodepage"/>
      </w:rPr>
      <w:fldChar w:fldCharType="end"/>
    </w:r>
  </w:p>
  <w:p w:rsidR="00672DD3" w:rsidRDefault="00672DD3" w:rsidP="00A2499A">
    <w:pPr>
      <w:pStyle w:val="Pieddepage"/>
      <w:ind w:right="360"/>
      <w:jc w:val="center"/>
    </w:pPr>
  </w:p>
  <w:p w:rsidR="00672DD3" w:rsidRDefault="00672DD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2D" w:rsidRDefault="00523E2D" w:rsidP="00B775CB">
      <w:r>
        <w:separator/>
      </w:r>
    </w:p>
  </w:footnote>
  <w:footnote w:type="continuationSeparator" w:id="0">
    <w:p w:rsidR="00523E2D" w:rsidRDefault="00523E2D"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D3" w:rsidRDefault="005D231F" w:rsidP="006B704B">
    <w:pPr>
      <w:pStyle w:val="En-tte"/>
      <w:framePr w:wrap="around" w:vAnchor="text" w:hAnchor="margin" w:xAlign="center" w:y="1"/>
      <w:rPr>
        <w:rStyle w:val="Numrodepage"/>
      </w:rPr>
    </w:pPr>
    <w:r>
      <w:rPr>
        <w:rStyle w:val="Numrodepage"/>
      </w:rPr>
      <w:fldChar w:fldCharType="begin"/>
    </w:r>
    <w:r w:rsidR="00672DD3">
      <w:rPr>
        <w:rStyle w:val="Numrodepage"/>
      </w:rPr>
      <w:instrText xml:space="preserve">PAGE  </w:instrText>
    </w:r>
    <w:r>
      <w:rPr>
        <w:rStyle w:val="Numrodepage"/>
      </w:rPr>
      <w:fldChar w:fldCharType="separate"/>
    </w:r>
    <w:r w:rsidR="00672DD3">
      <w:rPr>
        <w:rStyle w:val="Numrodepage"/>
        <w:noProof/>
      </w:rPr>
      <w:t>3</w:t>
    </w:r>
    <w:r>
      <w:rPr>
        <w:rStyle w:val="Numrodepage"/>
      </w:rPr>
      <w:fldChar w:fldCharType="end"/>
    </w:r>
  </w:p>
  <w:p w:rsidR="00672DD3" w:rsidRDefault="00672DD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A5DC2"/>
    <w:multiLevelType w:val="hybridMultilevel"/>
    <w:tmpl w:val="205AA3CA"/>
    <w:lvl w:ilvl="0" w:tplc="BA725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1"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6"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0"/>
  </w:num>
  <w:num w:numId="4">
    <w:abstractNumId w:val="28"/>
  </w:num>
  <w:num w:numId="5">
    <w:abstractNumId w:val="5"/>
  </w:num>
  <w:num w:numId="6">
    <w:abstractNumId w:val="25"/>
  </w:num>
  <w:num w:numId="7">
    <w:abstractNumId w:val="1"/>
  </w:num>
  <w:num w:numId="8">
    <w:abstractNumId w:val="2"/>
  </w:num>
  <w:num w:numId="9">
    <w:abstractNumId w:val="0"/>
  </w:num>
  <w:num w:numId="10">
    <w:abstractNumId w:val="3"/>
  </w:num>
  <w:num w:numId="11">
    <w:abstractNumId w:val="32"/>
  </w:num>
  <w:num w:numId="12">
    <w:abstractNumId w:val="10"/>
  </w:num>
  <w:num w:numId="13">
    <w:abstractNumId w:val="6"/>
  </w:num>
  <w:num w:numId="14">
    <w:abstractNumId w:val="23"/>
  </w:num>
  <w:num w:numId="15">
    <w:abstractNumId w:val="16"/>
  </w:num>
  <w:num w:numId="16">
    <w:abstractNumId w:val="17"/>
  </w:num>
  <w:num w:numId="17">
    <w:abstractNumId w:val="7"/>
  </w:num>
  <w:num w:numId="18">
    <w:abstractNumId w:val="4"/>
  </w:num>
  <w:num w:numId="19">
    <w:abstractNumId w:val="24"/>
  </w:num>
  <w:num w:numId="20">
    <w:abstractNumId w:val="15"/>
  </w:num>
  <w:num w:numId="21">
    <w:abstractNumId w:val="26"/>
  </w:num>
  <w:num w:numId="22">
    <w:abstractNumId w:val="22"/>
  </w:num>
  <w:num w:numId="23">
    <w:abstractNumId w:val="20"/>
  </w:num>
  <w:num w:numId="24">
    <w:abstractNumId w:val="19"/>
  </w:num>
  <w:num w:numId="25">
    <w:abstractNumId w:val="27"/>
  </w:num>
  <w:num w:numId="26">
    <w:abstractNumId w:val="29"/>
  </w:num>
  <w:num w:numId="27">
    <w:abstractNumId w:val="14"/>
  </w:num>
  <w:num w:numId="28">
    <w:abstractNumId w:val="8"/>
  </w:num>
  <w:num w:numId="29">
    <w:abstractNumId w:val="12"/>
  </w:num>
  <w:num w:numId="30">
    <w:abstractNumId w:val="13"/>
  </w:num>
  <w:num w:numId="31">
    <w:abstractNumId w:val="11"/>
  </w:num>
  <w:num w:numId="32">
    <w:abstractNumId w:val="2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57336"/>
    <w:rsid w:val="00086E6E"/>
    <w:rsid w:val="000A6058"/>
    <w:rsid w:val="000A7329"/>
    <w:rsid w:val="000B3A5E"/>
    <w:rsid w:val="000C1F1D"/>
    <w:rsid w:val="000D290D"/>
    <w:rsid w:val="000D71CF"/>
    <w:rsid w:val="000F1D01"/>
    <w:rsid w:val="0010469C"/>
    <w:rsid w:val="001139A0"/>
    <w:rsid w:val="00115785"/>
    <w:rsid w:val="00124842"/>
    <w:rsid w:val="001443ED"/>
    <w:rsid w:val="001554F2"/>
    <w:rsid w:val="001717BD"/>
    <w:rsid w:val="001A4DC2"/>
    <w:rsid w:val="001C0DD6"/>
    <w:rsid w:val="001C79C6"/>
    <w:rsid w:val="001D0097"/>
    <w:rsid w:val="001D30EA"/>
    <w:rsid w:val="001D65D7"/>
    <w:rsid w:val="001E22D1"/>
    <w:rsid w:val="001E733E"/>
    <w:rsid w:val="001F6CD1"/>
    <w:rsid w:val="00215286"/>
    <w:rsid w:val="00216506"/>
    <w:rsid w:val="002219C0"/>
    <w:rsid w:val="002220E0"/>
    <w:rsid w:val="00233085"/>
    <w:rsid w:val="00233914"/>
    <w:rsid w:val="00233FCE"/>
    <w:rsid w:val="00236B9F"/>
    <w:rsid w:val="00245527"/>
    <w:rsid w:val="0024711E"/>
    <w:rsid w:val="002609D3"/>
    <w:rsid w:val="002C1855"/>
    <w:rsid w:val="002D504D"/>
    <w:rsid w:val="002E116B"/>
    <w:rsid w:val="002E6CFC"/>
    <w:rsid w:val="00332AA2"/>
    <w:rsid w:val="00361390"/>
    <w:rsid w:val="003844D5"/>
    <w:rsid w:val="00396ECE"/>
    <w:rsid w:val="003A0C16"/>
    <w:rsid w:val="003B39A4"/>
    <w:rsid w:val="003B677B"/>
    <w:rsid w:val="003D0A59"/>
    <w:rsid w:val="003D1241"/>
    <w:rsid w:val="003D34A6"/>
    <w:rsid w:val="003E0B79"/>
    <w:rsid w:val="003E69CE"/>
    <w:rsid w:val="003F6A9F"/>
    <w:rsid w:val="004030B0"/>
    <w:rsid w:val="00405F0D"/>
    <w:rsid w:val="00407D5F"/>
    <w:rsid w:val="0041539E"/>
    <w:rsid w:val="004229B6"/>
    <w:rsid w:val="00431EF7"/>
    <w:rsid w:val="0043242A"/>
    <w:rsid w:val="004423E9"/>
    <w:rsid w:val="00463C33"/>
    <w:rsid w:val="00464086"/>
    <w:rsid w:val="00475417"/>
    <w:rsid w:val="004823B7"/>
    <w:rsid w:val="004A6915"/>
    <w:rsid w:val="004C08ED"/>
    <w:rsid w:val="004C338A"/>
    <w:rsid w:val="004C66BD"/>
    <w:rsid w:val="004D5D39"/>
    <w:rsid w:val="004E1CC4"/>
    <w:rsid w:val="004E5079"/>
    <w:rsid w:val="004F10F8"/>
    <w:rsid w:val="005221BD"/>
    <w:rsid w:val="00523E2D"/>
    <w:rsid w:val="00540F2C"/>
    <w:rsid w:val="0055529C"/>
    <w:rsid w:val="00556E1C"/>
    <w:rsid w:val="005701F7"/>
    <w:rsid w:val="005708F2"/>
    <w:rsid w:val="005A5445"/>
    <w:rsid w:val="005B2729"/>
    <w:rsid w:val="005B49F1"/>
    <w:rsid w:val="005C19EA"/>
    <w:rsid w:val="005D231F"/>
    <w:rsid w:val="005D7602"/>
    <w:rsid w:val="005D789F"/>
    <w:rsid w:val="005E7030"/>
    <w:rsid w:val="005F49C0"/>
    <w:rsid w:val="00604BCC"/>
    <w:rsid w:val="0061467F"/>
    <w:rsid w:val="006265EF"/>
    <w:rsid w:val="0063249B"/>
    <w:rsid w:val="00637738"/>
    <w:rsid w:val="00653B51"/>
    <w:rsid w:val="00657FA8"/>
    <w:rsid w:val="00672DD3"/>
    <w:rsid w:val="00677471"/>
    <w:rsid w:val="0068698B"/>
    <w:rsid w:val="006A06E8"/>
    <w:rsid w:val="006B400E"/>
    <w:rsid w:val="006B704B"/>
    <w:rsid w:val="006C1F4E"/>
    <w:rsid w:val="006C2BD0"/>
    <w:rsid w:val="006C3F9B"/>
    <w:rsid w:val="006C7DFD"/>
    <w:rsid w:val="006E1070"/>
    <w:rsid w:val="006E1E59"/>
    <w:rsid w:val="006E7555"/>
    <w:rsid w:val="006F5B8B"/>
    <w:rsid w:val="007008D8"/>
    <w:rsid w:val="007020EE"/>
    <w:rsid w:val="00717F1F"/>
    <w:rsid w:val="0072264C"/>
    <w:rsid w:val="007559DC"/>
    <w:rsid w:val="007910CC"/>
    <w:rsid w:val="00791C1F"/>
    <w:rsid w:val="007D107A"/>
    <w:rsid w:val="007F47F9"/>
    <w:rsid w:val="007F61CF"/>
    <w:rsid w:val="0080517E"/>
    <w:rsid w:val="008077B1"/>
    <w:rsid w:val="0081472E"/>
    <w:rsid w:val="00815CF6"/>
    <w:rsid w:val="0083441B"/>
    <w:rsid w:val="008359BE"/>
    <w:rsid w:val="008371A1"/>
    <w:rsid w:val="0085465A"/>
    <w:rsid w:val="0086630D"/>
    <w:rsid w:val="00893452"/>
    <w:rsid w:val="00896AC2"/>
    <w:rsid w:val="008A6255"/>
    <w:rsid w:val="008A785F"/>
    <w:rsid w:val="008B4A74"/>
    <w:rsid w:val="008C666F"/>
    <w:rsid w:val="008E3BB9"/>
    <w:rsid w:val="00901A3C"/>
    <w:rsid w:val="00907C68"/>
    <w:rsid w:val="00927DEB"/>
    <w:rsid w:val="00961E9D"/>
    <w:rsid w:val="00962611"/>
    <w:rsid w:val="00981402"/>
    <w:rsid w:val="009A502C"/>
    <w:rsid w:val="009D0657"/>
    <w:rsid w:val="009E632A"/>
    <w:rsid w:val="009E71DC"/>
    <w:rsid w:val="009E7DC3"/>
    <w:rsid w:val="009F07BB"/>
    <w:rsid w:val="00A01246"/>
    <w:rsid w:val="00A07C9B"/>
    <w:rsid w:val="00A165A4"/>
    <w:rsid w:val="00A212E8"/>
    <w:rsid w:val="00A22DF9"/>
    <w:rsid w:val="00A2499A"/>
    <w:rsid w:val="00A41C04"/>
    <w:rsid w:val="00A44BC9"/>
    <w:rsid w:val="00A50462"/>
    <w:rsid w:val="00A670BE"/>
    <w:rsid w:val="00A677E8"/>
    <w:rsid w:val="00A71878"/>
    <w:rsid w:val="00A968FF"/>
    <w:rsid w:val="00AE2421"/>
    <w:rsid w:val="00B04FD3"/>
    <w:rsid w:val="00B161FB"/>
    <w:rsid w:val="00B17B44"/>
    <w:rsid w:val="00B30EA5"/>
    <w:rsid w:val="00B477B7"/>
    <w:rsid w:val="00B526D3"/>
    <w:rsid w:val="00B775CB"/>
    <w:rsid w:val="00B83C77"/>
    <w:rsid w:val="00B970E4"/>
    <w:rsid w:val="00BA56CF"/>
    <w:rsid w:val="00BB3474"/>
    <w:rsid w:val="00BD11A8"/>
    <w:rsid w:val="00BF39B7"/>
    <w:rsid w:val="00C02E22"/>
    <w:rsid w:val="00C25F79"/>
    <w:rsid w:val="00C34BD6"/>
    <w:rsid w:val="00C46894"/>
    <w:rsid w:val="00C506AC"/>
    <w:rsid w:val="00C770FF"/>
    <w:rsid w:val="00CD503B"/>
    <w:rsid w:val="00CD6AA6"/>
    <w:rsid w:val="00CF02CA"/>
    <w:rsid w:val="00D0630D"/>
    <w:rsid w:val="00D0770B"/>
    <w:rsid w:val="00D300A3"/>
    <w:rsid w:val="00D416D3"/>
    <w:rsid w:val="00D52CD0"/>
    <w:rsid w:val="00D61AFD"/>
    <w:rsid w:val="00D66359"/>
    <w:rsid w:val="00D677E2"/>
    <w:rsid w:val="00D7596E"/>
    <w:rsid w:val="00D91AF4"/>
    <w:rsid w:val="00DA0E2A"/>
    <w:rsid w:val="00DA12C8"/>
    <w:rsid w:val="00DB483B"/>
    <w:rsid w:val="00DB7FE7"/>
    <w:rsid w:val="00DD0889"/>
    <w:rsid w:val="00DE42C6"/>
    <w:rsid w:val="00DF2920"/>
    <w:rsid w:val="00E10E4C"/>
    <w:rsid w:val="00E41E6C"/>
    <w:rsid w:val="00E43EC8"/>
    <w:rsid w:val="00E61A63"/>
    <w:rsid w:val="00EA3A77"/>
    <w:rsid w:val="00EC2142"/>
    <w:rsid w:val="00ED4B0F"/>
    <w:rsid w:val="00EE35AE"/>
    <w:rsid w:val="00F1033E"/>
    <w:rsid w:val="00F17704"/>
    <w:rsid w:val="00F22669"/>
    <w:rsid w:val="00F349D0"/>
    <w:rsid w:val="00F3604B"/>
    <w:rsid w:val="00F521D1"/>
    <w:rsid w:val="00F61920"/>
    <w:rsid w:val="00FB177C"/>
    <w:rsid w:val="00FB753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5:chartTrackingRefBased/>
  <w15:docId w15:val="{8A216D1C-E602-474C-99B6-6CB1100B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 w:type="paragraph" w:customStyle="1" w:styleId="Pa15">
    <w:name w:val="Pa15"/>
    <w:basedOn w:val="Default"/>
    <w:next w:val="Default"/>
    <w:uiPriority w:val="99"/>
    <w:rsid w:val="005F49C0"/>
    <w:pPr>
      <w:widowControl w:val="0"/>
      <w:spacing w:after="40" w:line="201" w:lineRule="atLeast"/>
    </w:pPr>
    <w:rPr>
      <w:rFonts w:ascii="Times New Roman" w:eastAsia="Times New Roman" w:hAnsi="Times New Roman" w:cs="Times New Roman"/>
      <w:color w:val="auto"/>
      <w:lang w:val="en-US" w:eastAsia="en-US"/>
    </w:rPr>
  </w:style>
  <w:style w:type="character" w:customStyle="1" w:styleId="A7">
    <w:name w:val="A7"/>
    <w:uiPriority w:val="99"/>
    <w:rsid w:val="000B3A5E"/>
    <w:rPr>
      <w:i/>
      <w:i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44077409">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DP6454A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6454A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/sftpecos/Dossiers_parlementaires/6454A/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37F054-262D-4980-858C-98506E4E577F}"/>
</file>

<file path=customXml/itemProps2.xml><?xml version="1.0" encoding="utf-8"?>
<ds:datastoreItem xmlns:ds="http://schemas.openxmlformats.org/officeDocument/2006/customXml" ds:itemID="{8284AC61-8B33-47B3-A615-44D5BB11FE3E}"/>
</file>

<file path=customXml/itemProps3.xml><?xml version="1.0" encoding="utf-8"?>
<ds:datastoreItem xmlns:ds="http://schemas.openxmlformats.org/officeDocument/2006/customXml" ds:itemID="{31A29E65-2BD3-4EF8-BA36-221F500B7CAB}"/>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