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59" w:rsidRPr="006225C2" w:rsidRDefault="002E2194" w:rsidP="0006492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225C2">
        <w:rPr>
          <w:b/>
          <w:sz w:val="32"/>
          <w:szCs w:val="32"/>
        </w:rPr>
        <w:t>N° 6445</w:t>
      </w:r>
    </w:p>
    <w:p w:rsidR="008C7159" w:rsidRPr="006225C2" w:rsidRDefault="008C7159" w:rsidP="00064921">
      <w:pPr>
        <w:pBdr>
          <w:bottom w:val="thinThickSmallGap" w:sz="24" w:space="1" w:color="auto"/>
        </w:pBdr>
        <w:spacing w:after="0" w:line="240" w:lineRule="auto"/>
        <w:jc w:val="center"/>
        <w:rPr>
          <w:b/>
        </w:rPr>
      </w:pPr>
    </w:p>
    <w:p w:rsidR="008C7159" w:rsidRPr="006225C2" w:rsidRDefault="008C7159" w:rsidP="00064921">
      <w:pPr>
        <w:spacing w:after="0" w:line="240" w:lineRule="auto"/>
        <w:jc w:val="both"/>
        <w:rPr>
          <w:b/>
        </w:rPr>
      </w:pPr>
    </w:p>
    <w:p w:rsidR="008C7159" w:rsidRPr="006225C2" w:rsidRDefault="008C7159" w:rsidP="00064921">
      <w:pPr>
        <w:spacing w:after="0" w:line="240" w:lineRule="auto"/>
        <w:jc w:val="center"/>
        <w:rPr>
          <w:b/>
          <w:sz w:val="28"/>
          <w:szCs w:val="28"/>
        </w:rPr>
      </w:pPr>
      <w:r w:rsidRPr="006225C2">
        <w:rPr>
          <w:b/>
          <w:sz w:val="28"/>
          <w:szCs w:val="28"/>
        </w:rPr>
        <w:t>Projet de loi</w:t>
      </w:r>
    </w:p>
    <w:p w:rsidR="00442A49" w:rsidRPr="006225C2" w:rsidRDefault="00442A49" w:rsidP="00064921">
      <w:pPr>
        <w:spacing w:after="0" w:line="240" w:lineRule="auto"/>
        <w:jc w:val="center"/>
        <w:rPr>
          <w:b/>
          <w:szCs w:val="24"/>
        </w:rPr>
      </w:pPr>
    </w:p>
    <w:p w:rsidR="002E2194" w:rsidRPr="006225C2" w:rsidRDefault="002E2194" w:rsidP="000649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fr-LU"/>
        </w:rPr>
      </w:pPr>
      <w:r w:rsidRPr="006225C2">
        <w:rPr>
          <w:b/>
          <w:bCs/>
          <w:sz w:val="28"/>
          <w:szCs w:val="28"/>
          <w:lang w:val="fr-LU"/>
        </w:rPr>
        <w:t>– autorisant le Gouvernement à participer à la révision générale des quotes-parts des pays membres du Fonds monétaire international approuvé par la résolution n° 66-2 du conseil des gouverneurs en date du 15 décembre 2010</w:t>
      </w:r>
    </w:p>
    <w:p w:rsidR="002E2194" w:rsidRPr="006225C2" w:rsidRDefault="002E2194" w:rsidP="00064921">
      <w:pPr>
        <w:spacing w:after="0" w:line="240" w:lineRule="auto"/>
        <w:jc w:val="both"/>
        <w:rPr>
          <w:b/>
          <w:bCs/>
          <w:sz w:val="28"/>
          <w:szCs w:val="28"/>
          <w:lang w:val="fr-LU"/>
        </w:rPr>
      </w:pPr>
    </w:p>
    <w:p w:rsidR="001F1828" w:rsidRPr="006225C2" w:rsidRDefault="002E2194" w:rsidP="00064921">
      <w:pPr>
        <w:spacing w:after="0" w:line="240" w:lineRule="auto"/>
        <w:jc w:val="both"/>
        <w:rPr>
          <w:b/>
          <w:bCs/>
          <w:sz w:val="28"/>
          <w:szCs w:val="28"/>
          <w:lang w:val="fr-LU"/>
        </w:rPr>
      </w:pPr>
      <w:r w:rsidRPr="006225C2">
        <w:rPr>
          <w:b/>
          <w:bCs/>
          <w:sz w:val="28"/>
          <w:szCs w:val="28"/>
          <w:lang w:val="fr-LU"/>
        </w:rPr>
        <w:t>– approuvant</w:t>
      </w:r>
      <w:r w:rsidR="008723E4" w:rsidRPr="006225C2">
        <w:rPr>
          <w:b/>
          <w:bCs/>
          <w:sz w:val="28"/>
          <w:szCs w:val="28"/>
          <w:lang w:val="fr-LU"/>
        </w:rPr>
        <w:t xml:space="preserve"> l’amendement des s</w:t>
      </w:r>
      <w:r w:rsidRPr="006225C2">
        <w:rPr>
          <w:b/>
          <w:bCs/>
          <w:sz w:val="28"/>
          <w:szCs w:val="28"/>
          <w:lang w:val="fr-LU"/>
        </w:rPr>
        <w:t>tatuts du Fonds monétaire international décidé par le conseil des gouverneurs aux termes de sa résolution n° 66-2 en date du 15 décembre 2010</w:t>
      </w:r>
    </w:p>
    <w:p w:rsidR="00E37D19" w:rsidRPr="006225C2" w:rsidRDefault="00E37D19" w:rsidP="00064921">
      <w:pPr>
        <w:spacing w:after="0" w:line="240" w:lineRule="auto"/>
        <w:jc w:val="both"/>
        <w:rPr>
          <w:b/>
          <w:sz w:val="28"/>
          <w:szCs w:val="28"/>
        </w:rPr>
      </w:pPr>
    </w:p>
    <w:p w:rsidR="00EB2DAA" w:rsidRPr="006225C2" w:rsidRDefault="00EB2DAA" w:rsidP="008D4218">
      <w:pPr>
        <w:pStyle w:val="NormalWeb"/>
        <w:spacing w:after="0" w:afterAutospacing="0"/>
        <w:jc w:val="both"/>
      </w:pPr>
      <w:r w:rsidRPr="006225C2">
        <w:t>Le projet de loi sous rubrique contient l'approbation de la quatorzième révision générale des quotes-parts des membres du Fonds monétaire international, d'une part, et des amendements des statuts relatifs à la réforme du Conseil d'administration du Fonds monétaire international, d'autre part.</w:t>
      </w:r>
    </w:p>
    <w:p w:rsidR="008D4218" w:rsidRPr="006225C2" w:rsidRDefault="008D4218" w:rsidP="008D421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LU"/>
        </w:rPr>
      </w:pPr>
    </w:p>
    <w:p w:rsidR="00EB2DAA" w:rsidRPr="006225C2" w:rsidRDefault="00EB2DAA" w:rsidP="008D421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LU"/>
        </w:rPr>
      </w:pPr>
      <w:r w:rsidRPr="006225C2">
        <w:rPr>
          <w:szCs w:val="24"/>
          <w:lang w:val="fr-LU"/>
        </w:rPr>
        <w:t>La modification des statuts du FMI, décidée dans le cadre de la</w:t>
      </w:r>
      <w:r w:rsidR="00064921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>résolution n° 66-2 du conseil des gouverneurs du 15 décembre 2010, prévoit</w:t>
      </w:r>
      <w:r w:rsidR="00064921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>un doublement des ressources financières du FMI, d’une part, et une</w:t>
      </w:r>
      <w:r w:rsidR="00064921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>réorganisation de la représentation des Etats</w:t>
      </w:r>
      <w:r w:rsidR="00B534E4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>membres dans la gouvernance</w:t>
      </w:r>
      <w:r w:rsidR="00064921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 xml:space="preserve">du </w:t>
      </w:r>
      <w:r w:rsidR="00F33B62" w:rsidRPr="006225C2">
        <w:rPr>
          <w:szCs w:val="24"/>
          <w:lang w:val="fr-LU"/>
        </w:rPr>
        <w:t>F</w:t>
      </w:r>
      <w:r w:rsidRPr="006225C2">
        <w:rPr>
          <w:szCs w:val="24"/>
          <w:lang w:val="fr-LU"/>
        </w:rPr>
        <w:t>onds, d’autre part, en vue d’un rééquilibrage des intérêts en présence en</w:t>
      </w:r>
      <w:r w:rsidR="00064921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>faveur notamment des économies émergentes et des pays en développement</w:t>
      </w:r>
      <w:r w:rsidR="00064921" w:rsidRPr="006225C2">
        <w:rPr>
          <w:szCs w:val="24"/>
          <w:lang w:val="fr-LU"/>
        </w:rPr>
        <w:t xml:space="preserve"> </w:t>
      </w:r>
      <w:r w:rsidRPr="006225C2">
        <w:rPr>
          <w:szCs w:val="24"/>
          <w:lang w:val="fr-LU"/>
        </w:rPr>
        <w:t xml:space="preserve">dynamiques. </w:t>
      </w:r>
    </w:p>
    <w:p w:rsidR="00C829DA" w:rsidRPr="006225C2" w:rsidRDefault="00C829DA" w:rsidP="00C829DA">
      <w:pPr>
        <w:spacing w:after="0" w:line="240" w:lineRule="auto"/>
        <w:jc w:val="both"/>
        <w:rPr>
          <w:szCs w:val="24"/>
        </w:rPr>
      </w:pPr>
    </w:p>
    <w:p w:rsidR="00C829DA" w:rsidRPr="006225C2" w:rsidRDefault="00C829DA" w:rsidP="00C829DA">
      <w:pPr>
        <w:spacing w:line="240" w:lineRule="auto"/>
        <w:jc w:val="both"/>
        <w:rPr>
          <w:szCs w:val="24"/>
        </w:rPr>
      </w:pPr>
      <w:r w:rsidRPr="006225C2">
        <w:rPr>
          <w:szCs w:val="24"/>
        </w:rPr>
        <w:t xml:space="preserve">La résolution n° 66-2 </w:t>
      </w:r>
      <w:r w:rsidR="005D02C4">
        <w:rPr>
          <w:szCs w:val="24"/>
        </w:rPr>
        <w:t>porte</w:t>
      </w:r>
      <w:r w:rsidRPr="006225C2">
        <w:rPr>
          <w:szCs w:val="24"/>
        </w:rPr>
        <w:t xml:space="preserve"> les quotes-parts du FMI à 476,8 milliards de </w:t>
      </w:r>
      <w:r w:rsidR="005D02C4">
        <w:rPr>
          <w:szCs w:val="24"/>
        </w:rPr>
        <w:t>droits de tirage spéciaux (</w:t>
      </w:r>
      <w:r w:rsidRPr="006225C2">
        <w:rPr>
          <w:szCs w:val="24"/>
        </w:rPr>
        <w:t>DTS</w:t>
      </w:r>
      <w:r w:rsidR="005D02C4">
        <w:rPr>
          <w:szCs w:val="24"/>
        </w:rPr>
        <w:t>)</w:t>
      </w:r>
      <w:r w:rsidRPr="006225C2">
        <w:rPr>
          <w:szCs w:val="24"/>
        </w:rPr>
        <w:t>, respectivement 565,7 milliards d’euros au taux de change en vigueur au 30 décembre 2011 et opérera un transfert de plus de 6% des quotes-parts au profit des économies émergentes et des pays en développement dynamiques et de plus de 6% des pays surreprésentés vers les pays sous-représentés.</w:t>
      </w:r>
    </w:p>
    <w:p w:rsidR="00FC07D5" w:rsidRPr="005D02C4" w:rsidRDefault="00C829DA" w:rsidP="005D02C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fr-LU"/>
        </w:rPr>
      </w:pPr>
      <w:r w:rsidRPr="006225C2">
        <w:rPr>
          <w:szCs w:val="24"/>
          <w:lang w:val="fr-LU"/>
        </w:rPr>
        <w:t xml:space="preserve">Dans ces nouvelles conditions, la quote-part du Luxembourg </w:t>
      </w:r>
      <w:r w:rsidR="005D02C4">
        <w:rPr>
          <w:szCs w:val="24"/>
          <w:lang w:val="fr-LU"/>
        </w:rPr>
        <w:t xml:space="preserve">passe de 0,176 à 0,277 pour cent. </w:t>
      </w:r>
      <w:r w:rsidRPr="006225C2">
        <w:rPr>
          <w:szCs w:val="24"/>
          <w:lang w:val="fr-LU"/>
        </w:rPr>
        <w:t>Parallèlement, le référentiel des droits de vote détenus par le Luxembourg passera de 0,195 à 0,291.</w:t>
      </w:r>
    </w:p>
    <w:p w:rsidR="005D02C4" w:rsidRPr="006225C2" w:rsidRDefault="005D02C4" w:rsidP="005D02C4">
      <w:pPr>
        <w:spacing w:after="0" w:line="240" w:lineRule="auto"/>
        <w:jc w:val="both"/>
      </w:pPr>
      <w:r w:rsidRPr="006225C2">
        <w:t>L’augmentation de la quote-part nationale de 0,176 à 0,277 pour cent équivaut à 903,1 millions de DTS ou 1.071,6 millions d’euros.</w:t>
      </w:r>
    </w:p>
    <w:p w:rsidR="005D02C4" w:rsidRPr="006225C2" w:rsidRDefault="005D02C4" w:rsidP="005D02C4">
      <w:pPr>
        <w:spacing w:after="0" w:line="240" w:lineRule="auto"/>
        <w:jc w:val="both"/>
      </w:pPr>
    </w:p>
    <w:p w:rsidR="005D02C4" w:rsidRPr="006225C2" w:rsidRDefault="005D02C4" w:rsidP="005D02C4">
      <w:pPr>
        <w:spacing w:after="0" w:line="240" w:lineRule="auto"/>
        <w:jc w:val="both"/>
      </w:pPr>
      <w:r w:rsidRPr="006225C2">
        <w:t>Un quart de l’augmentation de la quote-part luxembourgeoise (267,9 millions d’euros)  sera réglée à charge des avoirs en réserve de la Banque centrale du Luxembourg. Cette opération fera l’objet d’une convention entre l’Etat et la Banque centrale et restera sans incidence sur le budget.</w:t>
      </w:r>
    </w:p>
    <w:p w:rsidR="005D02C4" w:rsidRPr="006225C2" w:rsidRDefault="005D02C4" w:rsidP="005D02C4">
      <w:pPr>
        <w:spacing w:after="0" w:line="240" w:lineRule="auto"/>
        <w:jc w:val="both"/>
      </w:pPr>
    </w:p>
    <w:p w:rsidR="005D02C4" w:rsidRPr="006225C2" w:rsidRDefault="005D02C4" w:rsidP="005D02C4">
      <w:pPr>
        <w:spacing w:after="0" w:line="240" w:lineRule="auto"/>
        <w:jc w:val="both"/>
      </w:pPr>
      <w:r w:rsidRPr="006225C2">
        <w:t>Les trois quarts restants de l’augmentation (803,7 millions d’euros), à régler en monnaie nationale, sont financés par l’émission d’un bon du Trésor. Le bon du Trésor correspond à la partie non libérée du capital souscrit et, en principe, ne donne pas lieu à un tirage.</w:t>
      </w:r>
    </w:p>
    <w:p w:rsidR="005D02C4" w:rsidRPr="005D02C4" w:rsidRDefault="005D02C4" w:rsidP="00064921">
      <w:pPr>
        <w:spacing w:after="0" w:line="240" w:lineRule="auto"/>
        <w:jc w:val="both"/>
      </w:pPr>
    </w:p>
    <w:sectPr w:rsidR="005D02C4" w:rsidRPr="005D02C4" w:rsidSect="00651F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DD" w:rsidRDefault="005B38DD" w:rsidP="004B2E71">
      <w:pPr>
        <w:spacing w:after="0" w:line="240" w:lineRule="auto"/>
      </w:pPr>
      <w:r>
        <w:separator/>
      </w:r>
    </w:p>
  </w:endnote>
  <w:endnote w:type="continuationSeparator" w:id="0">
    <w:p w:rsidR="005B38DD" w:rsidRDefault="005B38DD" w:rsidP="004B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62" w:rsidRDefault="00F33B62">
    <w:pPr>
      <w:pStyle w:val="Pieddepage"/>
      <w:jc w:val="center"/>
    </w:pPr>
  </w:p>
  <w:p w:rsidR="00F33B62" w:rsidRDefault="00F33B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DD" w:rsidRDefault="005B38DD" w:rsidP="004B2E71">
      <w:pPr>
        <w:spacing w:after="0" w:line="240" w:lineRule="auto"/>
      </w:pPr>
      <w:r>
        <w:separator/>
      </w:r>
    </w:p>
  </w:footnote>
  <w:footnote w:type="continuationSeparator" w:id="0">
    <w:p w:rsidR="005B38DD" w:rsidRDefault="005B38DD" w:rsidP="004B2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159"/>
    <w:rsid w:val="0000104F"/>
    <w:rsid w:val="0003293C"/>
    <w:rsid w:val="00046551"/>
    <w:rsid w:val="00064921"/>
    <w:rsid w:val="000B2843"/>
    <w:rsid w:val="000C30CB"/>
    <w:rsid w:val="000D52F3"/>
    <w:rsid w:val="000D61BD"/>
    <w:rsid w:val="00101228"/>
    <w:rsid w:val="00117266"/>
    <w:rsid w:val="001C12CE"/>
    <w:rsid w:val="001F1828"/>
    <w:rsid w:val="00205BFC"/>
    <w:rsid w:val="00235A84"/>
    <w:rsid w:val="0024758C"/>
    <w:rsid w:val="00256DF1"/>
    <w:rsid w:val="00271FFA"/>
    <w:rsid w:val="002B1A98"/>
    <w:rsid w:val="002B7FA7"/>
    <w:rsid w:val="002C23E1"/>
    <w:rsid w:val="002D7C10"/>
    <w:rsid w:val="002E2194"/>
    <w:rsid w:val="003114E9"/>
    <w:rsid w:val="0032758F"/>
    <w:rsid w:val="00340F44"/>
    <w:rsid w:val="00344B46"/>
    <w:rsid w:val="003452B4"/>
    <w:rsid w:val="003E381E"/>
    <w:rsid w:val="003E70A8"/>
    <w:rsid w:val="00423D49"/>
    <w:rsid w:val="00431025"/>
    <w:rsid w:val="0044110A"/>
    <w:rsid w:val="00442A49"/>
    <w:rsid w:val="0046008E"/>
    <w:rsid w:val="004763A7"/>
    <w:rsid w:val="004B2E71"/>
    <w:rsid w:val="00594868"/>
    <w:rsid w:val="005B38DD"/>
    <w:rsid w:val="005B5A91"/>
    <w:rsid w:val="005C1687"/>
    <w:rsid w:val="005C2CCA"/>
    <w:rsid w:val="005D02C4"/>
    <w:rsid w:val="006225C2"/>
    <w:rsid w:val="00651F9A"/>
    <w:rsid w:val="006C6C0B"/>
    <w:rsid w:val="00751DE7"/>
    <w:rsid w:val="007575B1"/>
    <w:rsid w:val="00760E97"/>
    <w:rsid w:val="0079699F"/>
    <w:rsid w:val="007F7102"/>
    <w:rsid w:val="008572A7"/>
    <w:rsid w:val="008723E4"/>
    <w:rsid w:val="008837F0"/>
    <w:rsid w:val="008B13A8"/>
    <w:rsid w:val="008C7159"/>
    <w:rsid w:val="008D4218"/>
    <w:rsid w:val="00900234"/>
    <w:rsid w:val="00924527"/>
    <w:rsid w:val="00926536"/>
    <w:rsid w:val="00962BF6"/>
    <w:rsid w:val="009A7BB1"/>
    <w:rsid w:val="00A311FA"/>
    <w:rsid w:val="00A601C9"/>
    <w:rsid w:val="00A70501"/>
    <w:rsid w:val="00A96363"/>
    <w:rsid w:val="00AB176C"/>
    <w:rsid w:val="00AC2D87"/>
    <w:rsid w:val="00AC47F2"/>
    <w:rsid w:val="00AE0022"/>
    <w:rsid w:val="00B01945"/>
    <w:rsid w:val="00B21D89"/>
    <w:rsid w:val="00B43111"/>
    <w:rsid w:val="00B534E4"/>
    <w:rsid w:val="00B53E62"/>
    <w:rsid w:val="00BB3997"/>
    <w:rsid w:val="00BE2301"/>
    <w:rsid w:val="00C3058E"/>
    <w:rsid w:val="00C4663F"/>
    <w:rsid w:val="00C578E7"/>
    <w:rsid w:val="00C829DA"/>
    <w:rsid w:val="00CB301E"/>
    <w:rsid w:val="00CD6680"/>
    <w:rsid w:val="00CF06B3"/>
    <w:rsid w:val="00DF055C"/>
    <w:rsid w:val="00DF188B"/>
    <w:rsid w:val="00E25B4A"/>
    <w:rsid w:val="00E37D19"/>
    <w:rsid w:val="00E4249A"/>
    <w:rsid w:val="00E50A54"/>
    <w:rsid w:val="00E6093C"/>
    <w:rsid w:val="00E6518A"/>
    <w:rsid w:val="00E84974"/>
    <w:rsid w:val="00E95509"/>
    <w:rsid w:val="00EA058A"/>
    <w:rsid w:val="00EB2DAA"/>
    <w:rsid w:val="00EC4107"/>
    <w:rsid w:val="00F151BB"/>
    <w:rsid w:val="00F33B62"/>
    <w:rsid w:val="00FB1CCF"/>
    <w:rsid w:val="00FC07D5"/>
    <w:rsid w:val="00FC5019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F54DEC-A448-4D4E-9049-AB481BE7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59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726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26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26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266"/>
    <w:pPr>
      <w:spacing w:before="240" w:after="60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26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26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266"/>
    <w:pPr>
      <w:spacing w:before="240" w:after="60"/>
      <w:outlineLvl w:val="8"/>
    </w:pPr>
    <w:rPr>
      <w:rFonts w:eastAsia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266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1726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1726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726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172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1726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11726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1726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17266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11726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17266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266"/>
    <w:pPr>
      <w:spacing w:after="60"/>
      <w:jc w:val="center"/>
      <w:outlineLvl w:val="1"/>
    </w:pPr>
    <w:rPr>
      <w:rFonts w:eastAsia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117266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17266"/>
    <w:rPr>
      <w:b/>
      <w:bCs/>
    </w:rPr>
  </w:style>
  <w:style w:type="character" w:styleId="Accentuation">
    <w:name w:val="Emphasis"/>
    <w:basedOn w:val="Policepardfaut"/>
    <w:uiPriority w:val="20"/>
    <w:qFormat/>
    <w:rsid w:val="00117266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117266"/>
    <w:rPr>
      <w:szCs w:val="32"/>
    </w:rPr>
  </w:style>
  <w:style w:type="paragraph" w:styleId="Paragraphedeliste">
    <w:name w:val="List Paragraph"/>
    <w:basedOn w:val="Normal"/>
    <w:uiPriority w:val="34"/>
    <w:qFormat/>
    <w:rsid w:val="001172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1726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1726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266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266"/>
    <w:rPr>
      <w:b/>
      <w:i/>
      <w:sz w:val="24"/>
    </w:rPr>
  </w:style>
  <w:style w:type="character" w:styleId="Emphaseple">
    <w:name w:val="Subtle Emphasis"/>
    <w:uiPriority w:val="19"/>
    <w:qFormat/>
    <w:rsid w:val="00117266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11726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1172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172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17266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7266"/>
    <w:pPr>
      <w:outlineLvl w:val="9"/>
    </w:pPr>
  </w:style>
  <w:style w:type="paragraph" w:styleId="Textebrut">
    <w:name w:val="Plain Text"/>
    <w:basedOn w:val="Normal"/>
    <w:link w:val="TextebrutCar"/>
    <w:rsid w:val="008C7159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bidi="en-US"/>
    </w:rPr>
  </w:style>
  <w:style w:type="character" w:customStyle="1" w:styleId="TextebrutCar">
    <w:name w:val="Texte brut Car"/>
    <w:basedOn w:val="Policepardfaut"/>
    <w:link w:val="Textebrut"/>
    <w:rsid w:val="008C7159"/>
    <w:rPr>
      <w:rFonts w:ascii="Courier New" w:eastAsia="Times New Roman" w:hAnsi="Courier New"/>
      <w:sz w:val="20"/>
      <w:szCs w:val="20"/>
      <w:lang w:val="fr-FR"/>
    </w:rPr>
  </w:style>
  <w:style w:type="paragraph" w:customStyle="1" w:styleId="Pa11">
    <w:name w:val="Pa11"/>
    <w:basedOn w:val="Normal"/>
    <w:next w:val="Normal"/>
    <w:uiPriority w:val="99"/>
    <w:rsid w:val="001F1828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4"/>
    <w:rPr>
      <w:rFonts w:ascii="Tahoma" w:hAnsi="Tahoma" w:cs="Tahoma"/>
      <w:sz w:val="16"/>
      <w:szCs w:val="16"/>
      <w:lang w:val="fr-FR" w:bidi="ar-SA"/>
    </w:rPr>
  </w:style>
  <w:style w:type="paragraph" w:customStyle="1" w:styleId="Pa14">
    <w:name w:val="Pa14"/>
    <w:basedOn w:val="Normal"/>
    <w:next w:val="Normal"/>
    <w:uiPriority w:val="99"/>
    <w:rsid w:val="00E25B4A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4">
    <w:name w:val="Pa4"/>
    <w:basedOn w:val="Normal"/>
    <w:next w:val="Normal"/>
    <w:uiPriority w:val="99"/>
    <w:rsid w:val="00E25B4A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24">
    <w:name w:val="Pa24"/>
    <w:basedOn w:val="Normal"/>
    <w:next w:val="Normal"/>
    <w:uiPriority w:val="99"/>
    <w:rsid w:val="00442A49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26">
    <w:name w:val="Pa26"/>
    <w:basedOn w:val="Normal"/>
    <w:next w:val="Normal"/>
    <w:uiPriority w:val="99"/>
    <w:rsid w:val="00442A49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2E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2E71"/>
    <w:rPr>
      <w:sz w:val="20"/>
      <w:szCs w:val="20"/>
      <w:lang w:val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4B2E7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94868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7D1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7D19"/>
    <w:rPr>
      <w:sz w:val="20"/>
      <w:szCs w:val="20"/>
      <w:lang w:val="fr-FR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E37D1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37D19"/>
    <w:rPr>
      <w:color w:val="0000FF"/>
      <w:u w:val="single"/>
    </w:rPr>
  </w:style>
  <w:style w:type="paragraph" w:customStyle="1" w:styleId="Pa10">
    <w:name w:val="Pa10"/>
    <w:basedOn w:val="Normal"/>
    <w:next w:val="Normal"/>
    <w:uiPriority w:val="99"/>
    <w:rsid w:val="00E37D19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styleId="En-tte">
    <w:name w:val="header"/>
    <w:basedOn w:val="Normal"/>
    <w:link w:val="En-tteCar"/>
    <w:uiPriority w:val="99"/>
    <w:semiHidden/>
    <w:unhideWhenUsed/>
    <w:rsid w:val="00F3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B62"/>
    <w:rPr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F3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B62"/>
    <w:rPr>
      <w:szCs w:val="22"/>
      <w:lang w:val="fr-FR" w:bidi="ar-SA"/>
    </w:rPr>
  </w:style>
  <w:style w:type="paragraph" w:customStyle="1" w:styleId="Default">
    <w:name w:val="Default"/>
    <w:rsid w:val="00B43111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DP6445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6445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/sftpecos/Dossiers_parlementaires/6445/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029D5EE-2A59-488B-AC74-B6617D9F6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49F82-98F8-410E-B3D9-6BB1C52A88F0}"/>
</file>

<file path=customXml/itemProps3.xml><?xml version="1.0" encoding="utf-8"?>
<ds:datastoreItem xmlns:ds="http://schemas.openxmlformats.org/officeDocument/2006/customXml" ds:itemID="{BC23B3CA-9413-4B5F-B389-081E6634C6CF}"/>
</file>

<file path=customXml/itemProps4.xml><?xml version="1.0" encoding="utf-8"?>
<ds:datastoreItem xmlns:ds="http://schemas.openxmlformats.org/officeDocument/2006/customXml" ds:itemID="{D3C08055-CBC6-4636-8ED7-B3F52002C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