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947" w:rsidRPr="00A30135" w:rsidRDefault="00F26947" w:rsidP="00DE113F">
      <w:pPr>
        <w:autoSpaceDE w:val="0"/>
        <w:autoSpaceDN w:val="0"/>
        <w:adjustRightInd w:val="0"/>
        <w:jc w:val="both"/>
        <w:rPr>
          <w:b/>
          <w:sz w:val="20"/>
          <w:szCs w:val="20"/>
        </w:rPr>
      </w:pPr>
      <w:bookmarkStart w:id="0" w:name="_GoBack"/>
      <w:bookmarkEnd w:id="0"/>
      <w:r w:rsidRPr="00A30135">
        <w:rPr>
          <w:b/>
        </w:rPr>
        <w:t xml:space="preserve">N° </w:t>
      </w:r>
      <w:r w:rsidR="008F11B6" w:rsidRPr="00A30135">
        <w:rPr>
          <w:b/>
        </w:rPr>
        <w:t>6</w:t>
      </w:r>
      <w:r w:rsidR="00B26466" w:rsidRPr="00A30135">
        <w:rPr>
          <w:b/>
        </w:rPr>
        <w:t>440</w:t>
      </w:r>
      <w:r w:rsidRPr="00A30135">
        <w:rPr>
          <w:b/>
        </w:rPr>
        <w:t xml:space="preserve"> </w:t>
      </w:r>
      <w:r w:rsidRPr="00A30135">
        <w:rPr>
          <w:b/>
          <w:bCs/>
        </w:rPr>
        <w:t>Projet de loi</w:t>
      </w:r>
      <w:r w:rsidR="00DE113F" w:rsidRPr="00A30135">
        <w:rPr>
          <w:b/>
          <w:bCs/>
        </w:rPr>
        <w:t xml:space="preserve"> </w:t>
      </w:r>
      <w:r w:rsidRPr="00A30135">
        <w:rPr>
          <w:b/>
          <w:bCs/>
        </w:rPr>
        <w:t>portant règlement du compte général de l’exercice 20</w:t>
      </w:r>
      <w:r w:rsidR="00FF1017" w:rsidRPr="00A30135">
        <w:rPr>
          <w:b/>
          <w:bCs/>
        </w:rPr>
        <w:t>1</w:t>
      </w:r>
      <w:r w:rsidR="00B26466" w:rsidRPr="00A30135">
        <w:rPr>
          <w:b/>
          <w:bCs/>
        </w:rPr>
        <w:t>1</w:t>
      </w:r>
      <w:r w:rsidRPr="00A30135">
        <w:rPr>
          <w:b/>
          <w:bCs/>
          <w:sz w:val="32"/>
          <w:szCs w:val="32"/>
        </w:rPr>
        <w:t xml:space="preserve"> </w:t>
      </w:r>
    </w:p>
    <w:p w:rsidR="00F26947" w:rsidRDefault="00F26947" w:rsidP="00F26947">
      <w:pPr>
        <w:autoSpaceDE w:val="0"/>
        <w:autoSpaceDN w:val="0"/>
        <w:adjustRightInd w:val="0"/>
        <w:jc w:val="center"/>
        <w:rPr>
          <w:b/>
          <w:bCs/>
          <w:sz w:val="28"/>
          <w:szCs w:val="28"/>
        </w:rPr>
      </w:pPr>
    </w:p>
    <w:p w:rsidR="004460F4" w:rsidRPr="00807C81" w:rsidRDefault="004460F4" w:rsidP="00F26947">
      <w:pPr>
        <w:autoSpaceDE w:val="0"/>
        <w:autoSpaceDN w:val="0"/>
        <w:adjustRightInd w:val="0"/>
        <w:jc w:val="both"/>
        <w:rPr>
          <w:rFonts w:ascii="Times-Roman" w:hAnsi="Times-Roman" w:cs="Times-Roman"/>
        </w:rPr>
      </w:pPr>
      <w:r w:rsidRPr="00807C81">
        <w:rPr>
          <w:rFonts w:ascii="Times-Roman" w:hAnsi="Times-Roman" w:cs="Times-Roman"/>
        </w:rPr>
        <w:t>Le compte général de l’exercice 20</w:t>
      </w:r>
      <w:r w:rsidR="00E664D6" w:rsidRPr="00807C81">
        <w:rPr>
          <w:rFonts w:ascii="Times-Roman" w:hAnsi="Times-Roman" w:cs="Times-Roman"/>
        </w:rPr>
        <w:t>1</w:t>
      </w:r>
      <w:r w:rsidR="00807C81" w:rsidRPr="00807C81">
        <w:rPr>
          <w:rFonts w:ascii="Times-Roman" w:hAnsi="Times-Roman" w:cs="Times-Roman"/>
        </w:rPr>
        <w:t>1</w:t>
      </w:r>
      <w:r w:rsidRPr="00807C81">
        <w:rPr>
          <w:rFonts w:ascii="Times-Roman" w:hAnsi="Times-Roman" w:cs="Times-Roman"/>
        </w:rPr>
        <w:t xml:space="preserve"> se présente comme suit :</w:t>
      </w:r>
    </w:p>
    <w:p w:rsidR="004460F4" w:rsidRPr="00807C81" w:rsidRDefault="004460F4" w:rsidP="00F26947">
      <w:pPr>
        <w:autoSpaceDE w:val="0"/>
        <w:autoSpaceDN w:val="0"/>
        <w:adjustRightInd w:val="0"/>
        <w:jc w:val="both"/>
        <w:rPr>
          <w:rFonts w:ascii="Times-Roman" w:hAnsi="Times-Roman" w:cs="Times-Roman"/>
        </w:rPr>
      </w:pPr>
    </w:p>
    <w:p w:rsidR="004460F4" w:rsidRPr="00E70094" w:rsidRDefault="004460F4" w:rsidP="004460F4">
      <w:pPr>
        <w:autoSpaceDE w:val="0"/>
        <w:autoSpaceDN w:val="0"/>
        <w:adjustRightInd w:val="0"/>
        <w:jc w:val="center"/>
        <w:rPr>
          <w:b/>
          <w:bCs/>
          <w:lang w:val="fr-LU" w:eastAsia="fr-LU"/>
        </w:rPr>
      </w:pPr>
      <w:r w:rsidRPr="00E70094">
        <w:rPr>
          <w:b/>
          <w:bCs/>
          <w:lang w:val="fr-LU" w:eastAsia="fr-LU"/>
        </w:rPr>
        <w:t xml:space="preserve">A. </w:t>
      </w:r>
      <w:r w:rsidR="003E3317" w:rsidRPr="00E70094">
        <w:rPr>
          <w:b/>
          <w:bCs/>
          <w:lang w:val="fr-LU" w:eastAsia="fr-LU"/>
        </w:rPr>
        <w:t xml:space="preserve">- </w:t>
      </w:r>
      <w:r w:rsidRPr="00E70094">
        <w:rPr>
          <w:b/>
          <w:bCs/>
          <w:i/>
          <w:lang w:val="fr-LU" w:eastAsia="fr-LU"/>
        </w:rPr>
        <w:t>Recettes et dépenses courantes et en capital</w:t>
      </w:r>
    </w:p>
    <w:p w:rsidR="004460F4" w:rsidRPr="00E70094" w:rsidRDefault="004460F4" w:rsidP="004460F4">
      <w:pPr>
        <w:autoSpaceDE w:val="0"/>
        <w:autoSpaceDN w:val="0"/>
        <w:adjustRightInd w:val="0"/>
        <w:jc w:val="both"/>
        <w:rPr>
          <w:lang w:val="fr-LU" w:eastAsia="fr-LU"/>
        </w:rPr>
      </w:pPr>
    </w:p>
    <w:p w:rsidR="004460F4" w:rsidRPr="00E70094" w:rsidRDefault="00A04FF4" w:rsidP="00A6102E">
      <w:pPr>
        <w:tabs>
          <w:tab w:val="left" w:pos="6946"/>
        </w:tabs>
        <w:autoSpaceDE w:val="0"/>
        <w:autoSpaceDN w:val="0"/>
        <w:adjustRightInd w:val="0"/>
        <w:jc w:val="both"/>
        <w:rPr>
          <w:lang w:val="fr-LU" w:eastAsia="fr-LU"/>
        </w:rPr>
      </w:pPr>
      <w:r w:rsidRPr="00E70094">
        <w:rPr>
          <w:lang w:val="fr-LU" w:eastAsia="fr-LU"/>
        </w:rPr>
        <w:t>I – Recettes effectives</w:t>
      </w:r>
      <w:r w:rsidR="004460F4" w:rsidRPr="00E70094">
        <w:rPr>
          <w:lang w:val="fr-LU" w:eastAsia="fr-LU"/>
        </w:rPr>
        <w:tab/>
      </w:r>
      <w:r w:rsidR="00BC448E" w:rsidRPr="00E70094">
        <w:rPr>
          <w:lang w:val="fr-LU" w:eastAsia="fr-LU"/>
        </w:rPr>
        <w:t xml:space="preserve"> </w:t>
      </w:r>
      <w:r w:rsidR="00E664D6" w:rsidRPr="00E70094">
        <w:rPr>
          <w:lang w:val="fr-LU" w:eastAsia="fr-LU"/>
        </w:rPr>
        <w:t>1</w:t>
      </w:r>
      <w:r w:rsidR="00593577" w:rsidRPr="00E70094">
        <w:rPr>
          <w:lang w:val="fr-LU" w:eastAsia="fr-LU"/>
        </w:rPr>
        <w:t>0</w:t>
      </w:r>
      <w:r w:rsidR="004460F4" w:rsidRPr="00E70094">
        <w:rPr>
          <w:lang w:val="fr-LU" w:eastAsia="fr-LU"/>
        </w:rPr>
        <w:t>.</w:t>
      </w:r>
      <w:r w:rsidR="00593577" w:rsidRPr="00E70094">
        <w:rPr>
          <w:lang w:val="fr-LU" w:eastAsia="fr-LU"/>
        </w:rPr>
        <w:t>367</w:t>
      </w:r>
      <w:r w:rsidR="004460F4" w:rsidRPr="00E70094">
        <w:rPr>
          <w:lang w:val="fr-LU" w:eastAsia="fr-LU"/>
        </w:rPr>
        <w:t>.</w:t>
      </w:r>
      <w:r w:rsidR="00593577" w:rsidRPr="00E70094">
        <w:rPr>
          <w:lang w:val="fr-LU" w:eastAsia="fr-LU"/>
        </w:rPr>
        <w:t>345</w:t>
      </w:r>
      <w:r w:rsidR="004460F4" w:rsidRPr="00E70094">
        <w:rPr>
          <w:lang w:val="fr-LU" w:eastAsia="fr-LU"/>
        </w:rPr>
        <w:t>.</w:t>
      </w:r>
      <w:r w:rsidR="00593577" w:rsidRPr="00E70094">
        <w:rPr>
          <w:lang w:val="fr-LU" w:eastAsia="fr-LU"/>
        </w:rPr>
        <w:t>960</w:t>
      </w:r>
      <w:r w:rsidR="004460F4" w:rsidRPr="00E70094">
        <w:rPr>
          <w:lang w:val="fr-LU" w:eastAsia="fr-LU"/>
        </w:rPr>
        <w:t>,</w:t>
      </w:r>
      <w:r w:rsidR="00593577" w:rsidRPr="00E70094">
        <w:rPr>
          <w:lang w:val="fr-LU" w:eastAsia="fr-LU"/>
        </w:rPr>
        <w:t>60</w:t>
      </w:r>
      <w:r w:rsidR="004460F4" w:rsidRPr="00E70094">
        <w:rPr>
          <w:lang w:val="fr-LU" w:eastAsia="fr-LU"/>
        </w:rPr>
        <w:t xml:space="preserve"> EUR</w:t>
      </w:r>
    </w:p>
    <w:p w:rsidR="004460F4" w:rsidRPr="00E70094" w:rsidRDefault="00A04FF4" w:rsidP="00A6102E">
      <w:pPr>
        <w:tabs>
          <w:tab w:val="left" w:pos="6946"/>
        </w:tabs>
        <w:autoSpaceDE w:val="0"/>
        <w:autoSpaceDN w:val="0"/>
        <w:adjustRightInd w:val="0"/>
        <w:jc w:val="both"/>
        <w:rPr>
          <w:lang w:val="fr-LU" w:eastAsia="fr-LU"/>
        </w:rPr>
      </w:pPr>
      <w:r w:rsidRPr="00E70094">
        <w:rPr>
          <w:lang w:val="fr-LU" w:eastAsia="fr-LU"/>
        </w:rPr>
        <w:t>II – Dépenses effectives</w:t>
      </w:r>
      <w:r w:rsidR="00BC448E" w:rsidRPr="00E70094">
        <w:rPr>
          <w:lang w:val="fr-LU" w:eastAsia="fr-LU"/>
        </w:rPr>
        <w:tab/>
        <w:t xml:space="preserve"> </w:t>
      </w:r>
      <w:r w:rsidR="00E664D6" w:rsidRPr="00E70094">
        <w:rPr>
          <w:lang w:val="fr-LU" w:eastAsia="fr-LU"/>
        </w:rPr>
        <w:t>10</w:t>
      </w:r>
      <w:r w:rsidR="004460F4" w:rsidRPr="00E70094">
        <w:rPr>
          <w:lang w:val="fr-LU" w:eastAsia="fr-LU"/>
        </w:rPr>
        <w:t>.</w:t>
      </w:r>
      <w:r w:rsidR="00593577" w:rsidRPr="00E70094">
        <w:rPr>
          <w:lang w:val="fr-LU" w:eastAsia="fr-LU"/>
        </w:rPr>
        <w:t>728</w:t>
      </w:r>
      <w:r w:rsidR="004460F4" w:rsidRPr="00E70094">
        <w:rPr>
          <w:lang w:val="fr-LU" w:eastAsia="fr-LU"/>
        </w:rPr>
        <w:t>.</w:t>
      </w:r>
      <w:r w:rsidR="00593577" w:rsidRPr="00E70094">
        <w:rPr>
          <w:lang w:val="fr-LU" w:eastAsia="fr-LU"/>
        </w:rPr>
        <w:t>564</w:t>
      </w:r>
      <w:r w:rsidR="004460F4" w:rsidRPr="00E70094">
        <w:rPr>
          <w:lang w:val="fr-LU" w:eastAsia="fr-LU"/>
        </w:rPr>
        <w:t>.</w:t>
      </w:r>
      <w:r w:rsidR="00593577" w:rsidRPr="00E70094">
        <w:rPr>
          <w:lang w:val="fr-LU" w:eastAsia="fr-LU"/>
        </w:rPr>
        <w:t>441</w:t>
      </w:r>
      <w:r w:rsidR="004460F4" w:rsidRPr="00E70094">
        <w:rPr>
          <w:lang w:val="fr-LU" w:eastAsia="fr-LU"/>
        </w:rPr>
        <w:t>,</w:t>
      </w:r>
      <w:r w:rsidR="00E664D6" w:rsidRPr="00E70094">
        <w:rPr>
          <w:lang w:val="fr-LU" w:eastAsia="fr-LU"/>
        </w:rPr>
        <w:t>8</w:t>
      </w:r>
      <w:r w:rsidR="00593577" w:rsidRPr="00E70094">
        <w:rPr>
          <w:lang w:val="fr-LU" w:eastAsia="fr-LU"/>
        </w:rPr>
        <w:t>1</w:t>
      </w:r>
      <w:r w:rsidR="004460F4" w:rsidRPr="00E70094">
        <w:rPr>
          <w:lang w:val="fr-LU" w:eastAsia="fr-LU"/>
        </w:rPr>
        <w:t xml:space="preserve"> EUR</w:t>
      </w:r>
    </w:p>
    <w:p w:rsidR="004460F4" w:rsidRPr="00E70094" w:rsidRDefault="00A04FF4" w:rsidP="00A6102E">
      <w:pPr>
        <w:tabs>
          <w:tab w:val="left" w:pos="6946"/>
          <w:tab w:val="left" w:pos="7088"/>
        </w:tabs>
        <w:autoSpaceDE w:val="0"/>
        <w:autoSpaceDN w:val="0"/>
        <w:adjustRightInd w:val="0"/>
        <w:jc w:val="both"/>
        <w:rPr>
          <w:bCs/>
          <w:lang w:val="fr-LU" w:eastAsia="fr-LU"/>
        </w:rPr>
      </w:pPr>
      <w:r w:rsidRPr="00E70094">
        <w:rPr>
          <w:lang w:val="fr-LU" w:eastAsia="fr-LU"/>
        </w:rPr>
        <w:t xml:space="preserve">III – Excédent de </w:t>
      </w:r>
      <w:r w:rsidR="00593577" w:rsidRPr="00E70094">
        <w:rPr>
          <w:lang w:val="fr-LU" w:eastAsia="fr-LU"/>
        </w:rPr>
        <w:t>dépens</w:t>
      </w:r>
      <w:r w:rsidR="002C5409" w:rsidRPr="00E70094">
        <w:rPr>
          <w:lang w:val="fr-LU" w:eastAsia="fr-LU"/>
        </w:rPr>
        <w:t>es</w:t>
      </w:r>
      <w:r w:rsidR="004460F4" w:rsidRPr="00E70094">
        <w:rPr>
          <w:lang w:val="fr-LU" w:eastAsia="fr-LU"/>
        </w:rPr>
        <w:tab/>
        <w:t xml:space="preserve">    </w:t>
      </w:r>
      <w:r w:rsidR="00593577" w:rsidRPr="00E70094">
        <w:rPr>
          <w:lang w:val="fr-LU" w:eastAsia="fr-LU"/>
        </w:rPr>
        <w:t xml:space="preserve">  361</w:t>
      </w:r>
      <w:r w:rsidR="004460F4" w:rsidRPr="00E70094">
        <w:rPr>
          <w:bCs/>
          <w:lang w:val="fr-LU" w:eastAsia="fr-LU"/>
        </w:rPr>
        <w:t>.</w:t>
      </w:r>
      <w:r w:rsidR="00593577" w:rsidRPr="00E70094">
        <w:rPr>
          <w:bCs/>
          <w:lang w:val="fr-LU" w:eastAsia="fr-LU"/>
        </w:rPr>
        <w:t>218</w:t>
      </w:r>
      <w:r w:rsidR="00BC448E" w:rsidRPr="00E70094">
        <w:rPr>
          <w:bCs/>
          <w:lang w:val="fr-LU" w:eastAsia="fr-LU"/>
        </w:rPr>
        <w:t>.</w:t>
      </w:r>
      <w:r w:rsidR="00593577" w:rsidRPr="00E70094">
        <w:rPr>
          <w:bCs/>
          <w:lang w:val="fr-LU" w:eastAsia="fr-LU"/>
        </w:rPr>
        <w:t>481</w:t>
      </w:r>
      <w:r w:rsidR="004460F4" w:rsidRPr="00E70094">
        <w:rPr>
          <w:bCs/>
          <w:lang w:val="fr-LU" w:eastAsia="fr-LU"/>
        </w:rPr>
        <w:t>,</w:t>
      </w:r>
      <w:r w:rsidR="00593577" w:rsidRPr="00E70094">
        <w:rPr>
          <w:bCs/>
          <w:lang w:val="fr-LU" w:eastAsia="fr-LU"/>
        </w:rPr>
        <w:t>2</w:t>
      </w:r>
      <w:r w:rsidR="002C5409" w:rsidRPr="00E70094">
        <w:rPr>
          <w:bCs/>
          <w:lang w:val="fr-LU" w:eastAsia="fr-LU"/>
        </w:rPr>
        <w:t>1</w:t>
      </w:r>
      <w:r w:rsidR="004460F4" w:rsidRPr="00E70094">
        <w:rPr>
          <w:bCs/>
          <w:lang w:val="fr-LU" w:eastAsia="fr-LU"/>
        </w:rPr>
        <w:t xml:space="preserve"> EUR</w:t>
      </w:r>
    </w:p>
    <w:p w:rsidR="004460F4" w:rsidRPr="00E70094" w:rsidRDefault="004460F4" w:rsidP="00A6102E">
      <w:pPr>
        <w:tabs>
          <w:tab w:val="left" w:pos="6946"/>
          <w:tab w:val="left" w:pos="7088"/>
        </w:tabs>
        <w:autoSpaceDE w:val="0"/>
        <w:autoSpaceDN w:val="0"/>
        <w:adjustRightInd w:val="0"/>
        <w:jc w:val="both"/>
        <w:rPr>
          <w:lang w:val="fr-LU" w:eastAsia="fr-LU"/>
        </w:rPr>
      </w:pPr>
      <w:r w:rsidRPr="00E70094">
        <w:rPr>
          <w:lang w:val="fr-LU" w:eastAsia="fr-LU"/>
        </w:rPr>
        <w:t>IV – Report du solde des recettes et dépenses courantes et en capital</w:t>
      </w:r>
      <w:r w:rsidR="00D26B8D" w:rsidRPr="00E70094">
        <w:rPr>
          <w:lang w:val="fr-LU" w:eastAsia="fr-LU"/>
        </w:rPr>
        <w:t> </w:t>
      </w:r>
      <w:r w:rsidRPr="00E70094">
        <w:rPr>
          <w:lang w:val="fr-LU" w:eastAsia="fr-LU"/>
        </w:rPr>
        <w:tab/>
        <w:t xml:space="preserve">  </w:t>
      </w:r>
      <w:r w:rsidR="00BC448E" w:rsidRPr="00E70094">
        <w:rPr>
          <w:lang w:val="fr-LU" w:eastAsia="fr-LU"/>
        </w:rPr>
        <w:t xml:space="preserve"> -</w:t>
      </w:r>
      <w:r w:rsidR="00593577" w:rsidRPr="00E70094">
        <w:rPr>
          <w:lang w:val="fr-LU" w:eastAsia="fr-LU"/>
        </w:rPr>
        <w:t xml:space="preserve"> 683</w:t>
      </w:r>
      <w:r w:rsidRPr="00E70094">
        <w:rPr>
          <w:bCs/>
          <w:lang w:val="fr-LU" w:eastAsia="fr-LU"/>
        </w:rPr>
        <w:t>.</w:t>
      </w:r>
      <w:r w:rsidR="00593577" w:rsidRPr="00E70094">
        <w:rPr>
          <w:bCs/>
          <w:lang w:val="fr-LU" w:eastAsia="fr-LU"/>
        </w:rPr>
        <w:t>211</w:t>
      </w:r>
      <w:r w:rsidR="00BC448E" w:rsidRPr="00E70094">
        <w:rPr>
          <w:bCs/>
          <w:lang w:val="fr-LU" w:eastAsia="fr-LU"/>
        </w:rPr>
        <w:t>.</w:t>
      </w:r>
      <w:r w:rsidR="00593577" w:rsidRPr="00E70094">
        <w:rPr>
          <w:bCs/>
          <w:lang w:val="fr-LU" w:eastAsia="fr-LU"/>
        </w:rPr>
        <w:t>504</w:t>
      </w:r>
      <w:r w:rsidRPr="00E70094">
        <w:rPr>
          <w:bCs/>
          <w:lang w:val="fr-LU" w:eastAsia="fr-LU"/>
        </w:rPr>
        <w:t>,</w:t>
      </w:r>
      <w:r w:rsidR="00593577" w:rsidRPr="00E70094">
        <w:rPr>
          <w:bCs/>
          <w:lang w:val="fr-LU" w:eastAsia="fr-LU"/>
        </w:rPr>
        <w:t>96</w:t>
      </w:r>
      <w:r w:rsidRPr="00E70094">
        <w:rPr>
          <w:bCs/>
          <w:lang w:val="fr-LU" w:eastAsia="fr-LU"/>
        </w:rPr>
        <w:t xml:space="preserve"> </w:t>
      </w:r>
      <w:r w:rsidR="008D7BBC" w:rsidRPr="00E70094">
        <w:rPr>
          <w:lang w:val="fr-LU" w:eastAsia="fr-LU"/>
        </w:rPr>
        <w:t>EUR</w:t>
      </w:r>
    </w:p>
    <w:p w:rsidR="004460F4" w:rsidRPr="00E70094" w:rsidRDefault="004460F4" w:rsidP="00A6102E">
      <w:pPr>
        <w:tabs>
          <w:tab w:val="left" w:pos="6946"/>
        </w:tabs>
        <w:autoSpaceDE w:val="0"/>
        <w:autoSpaceDN w:val="0"/>
        <w:adjustRightInd w:val="0"/>
        <w:jc w:val="center"/>
        <w:rPr>
          <w:b/>
          <w:bCs/>
          <w:lang w:val="fr-LU" w:eastAsia="fr-LU"/>
        </w:rPr>
      </w:pPr>
    </w:p>
    <w:p w:rsidR="004460F4" w:rsidRPr="00E70094" w:rsidRDefault="004460F4" w:rsidP="00A6102E">
      <w:pPr>
        <w:tabs>
          <w:tab w:val="left" w:pos="6946"/>
        </w:tabs>
        <w:autoSpaceDE w:val="0"/>
        <w:autoSpaceDN w:val="0"/>
        <w:adjustRightInd w:val="0"/>
        <w:jc w:val="center"/>
        <w:rPr>
          <w:b/>
          <w:bCs/>
          <w:i/>
          <w:lang w:val="fr-LU" w:eastAsia="fr-LU"/>
        </w:rPr>
      </w:pPr>
      <w:r w:rsidRPr="00E70094">
        <w:rPr>
          <w:b/>
          <w:bCs/>
          <w:lang w:val="fr-LU" w:eastAsia="fr-LU"/>
        </w:rPr>
        <w:t xml:space="preserve">B. </w:t>
      </w:r>
      <w:r w:rsidR="003E3317" w:rsidRPr="00E70094">
        <w:rPr>
          <w:b/>
          <w:bCs/>
          <w:lang w:val="fr-LU" w:eastAsia="fr-LU"/>
        </w:rPr>
        <w:t xml:space="preserve">- </w:t>
      </w:r>
      <w:r w:rsidRPr="00E70094">
        <w:rPr>
          <w:b/>
          <w:bCs/>
          <w:i/>
          <w:lang w:val="fr-LU" w:eastAsia="fr-LU"/>
        </w:rPr>
        <w:t>Recettes et dépenses pour ordre</w:t>
      </w:r>
    </w:p>
    <w:p w:rsidR="004460F4" w:rsidRPr="00E70094" w:rsidRDefault="004460F4" w:rsidP="00A6102E">
      <w:pPr>
        <w:tabs>
          <w:tab w:val="left" w:pos="6946"/>
        </w:tabs>
        <w:autoSpaceDE w:val="0"/>
        <w:autoSpaceDN w:val="0"/>
        <w:adjustRightInd w:val="0"/>
        <w:jc w:val="both"/>
        <w:rPr>
          <w:lang w:val="fr-LU" w:eastAsia="fr-LU"/>
        </w:rPr>
      </w:pPr>
    </w:p>
    <w:p w:rsidR="004460F4" w:rsidRPr="00E70094" w:rsidRDefault="00A04FF4" w:rsidP="00A6102E">
      <w:pPr>
        <w:tabs>
          <w:tab w:val="left" w:pos="6946"/>
        </w:tabs>
        <w:autoSpaceDE w:val="0"/>
        <w:autoSpaceDN w:val="0"/>
        <w:adjustRightInd w:val="0"/>
        <w:jc w:val="both"/>
        <w:rPr>
          <w:lang w:val="fr-LU" w:eastAsia="fr-LU"/>
        </w:rPr>
      </w:pPr>
      <w:r w:rsidRPr="00E70094">
        <w:rPr>
          <w:lang w:val="fr-LU" w:eastAsia="fr-LU"/>
        </w:rPr>
        <w:t>I – Recettes pour ordre</w:t>
      </w:r>
      <w:r w:rsidR="003E3317" w:rsidRPr="00E70094">
        <w:rPr>
          <w:lang w:val="fr-LU" w:eastAsia="fr-LU"/>
        </w:rPr>
        <w:tab/>
      </w:r>
      <w:r w:rsidR="00593577" w:rsidRPr="00E70094">
        <w:rPr>
          <w:lang w:val="fr-LU" w:eastAsia="fr-LU"/>
        </w:rPr>
        <w:t>5</w:t>
      </w:r>
      <w:r w:rsidR="004460F4" w:rsidRPr="00E70094">
        <w:rPr>
          <w:lang w:val="fr-LU" w:eastAsia="fr-LU"/>
        </w:rPr>
        <w:t>.</w:t>
      </w:r>
      <w:r w:rsidR="00593577" w:rsidRPr="00E70094">
        <w:rPr>
          <w:lang w:val="fr-LU" w:eastAsia="fr-LU"/>
        </w:rPr>
        <w:t>088</w:t>
      </w:r>
      <w:r w:rsidR="004460F4" w:rsidRPr="00E70094">
        <w:rPr>
          <w:lang w:val="fr-LU" w:eastAsia="fr-LU"/>
        </w:rPr>
        <w:t>.</w:t>
      </w:r>
      <w:r w:rsidR="00593577" w:rsidRPr="00E70094">
        <w:rPr>
          <w:lang w:val="fr-LU" w:eastAsia="fr-LU"/>
        </w:rPr>
        <w:t>613</w:t>
      </w:r>
      <w:r w:rsidR="004460F4" w:rsidRPr="00E70094">
        <w:rPr>
          <w:lang w:val="fr-LU" w:eastAsia="fr-LU"/>
        </w:rPr>
        <w:t>.</w:t>
      </w:r>
      <w:r w:rsidR="00593577" w:rsidRPr="00E70094">
        <w:rPr>
          <w:lang w:val="fr-LU" w:eastAsia="fr-LU"/>
        </w:rPr>
        <w:t>041</w:t>
      </w:r>
      <w:r w:rsidR="004460F4" w:rsidRPr="00E70094">
        <w:rPr>
          <w:lang w:val="fr-LU" w:eastAsia="fr-LU"/>
        </w:rPr>
        <w:t>,</w:t>
      </w:r>
      <w:r w:rsidR="00CA76F8" w:rsidRPr="00E70094">
        <w:rPr>
          <w:lang w:val="fr-LU" w:eastAsia="fr-LU"/>
        </w:rPr>
        <w:t>3</w:t>
      </w:r>
      <w:r w:rsidR="00593577" w:rsidRPr="00E70094">
        <w:rPr>
          <w:lang w:val="fr-LU" w:eastAsia="fr-LU"/>
        </w:rPr>
        <w:t>2</w:t>
      </w:r>
      <w:r w:rsidR="004460F4" w:rsidRPr="00E70094">
        <w:rPr>
          <w:lang w:val="fr-LU" w:eastAsia="fr-LU"/>
        </w:rPr>
        <w:t xml:space="preserve"> EUR</w:t>
      </w:r>
    </w:p>
    <w:p w:rsidR="004460F4" w:rsidRPr="00E70094" w:rsidRDefault="004460F4" w:rsidP="00A6102E">
      <w:pPr>
        <w:tabs>
          <w:tab w:val="left" w:pos="6946"/>
        </w:tabs>
        <w:autoSpaceDE w:val="0"/>
        <w:autoSpaceDN w:val="0"/>
        <w:adjustRightInd w:val="0"/>
        <w:jc w:val="both"/>
        <w:rPr>
          <w:lang w:val="fr-LU" w:eastAsia="fr-LU"/>
        </w:rPr>
      </w:pPr>
      <w:r w:rsidRPr="00E70094">
        <w:rPr>
          <w:lang w:val="fr-LU" w:eastAsia="fr-LU"/>
        </w:rPr>
        <w:t xml:space="preserve">II – Dépenses pour ordre </w:t>
      </w:r>
      <w:r w:rsidR="003E3317" w:rsidRPr="00E70094">
        <w:rPr>
          <w:lang w:val="fr-LU" w:eastAsia="fr-LU"/>
        </w:rPr>
        <w:tab/>
      </w:r>
      <w:r w:rsidR="00593577" w:rsidRPr="00E70094">
        <w:rPr>
          <w:lang w:val="fr-LU" w:eastAsia="fr-LU"/>
        </w:rPr>
        <w:t>5</w:t>
      </w:r>
      <w:r w:rsidRPr="00E70094">
        <w:rPr>
          <w:lang w:val="fr-LU" w:eastAsia="fr-LU"/>
        </w:rPr>
        <w:t>.</w:t>
      </w:r>
      <w:r w:rsidR="00593577" w:rsidRPr="00E70094">
        <w:rPr>
          <w:lang w:val="fr-LU" w:eastAsia="fr-LU"/>
        </w:rPr>
        <w:t>089</w:t>
      </w:r>
      <w:r w:rsidRPr="00E70094">
        <w:rPr>
          <w:lang w:val="fr-LU" w:eastAsia="fr-LU"/>
        </w:rPr>
        <w:t>.</w:t>
      </w:r>
      <w:r w:rsidR="00593577" w:rsidRPr="00E70094">
        <w:rPr>
          <w:lang w:val="fr-LU" w:eastAsia="fr-LU"/>
        </w:rPr>
        <w:t>289</w:t>
      </w:r>
      <w:r w:rsidRPr="00E70094">
        <w:rPr>
          <w:lang w:val="fr-LU" w:eastAsia="fr-LU"/>
        </w:rPr>
        <w:t>.</w:t>
      </w:r>
      <w:r w:rsidR="00593577" w:rsidRPr="00E70094">
        <w:rPr>
          <w:lang w:val="fr-LU" w:eastAsia="fr-LU"/>
        </w:rPr>
        <w:t>270</w:t>
      </w:r>
      <w:r w:rsidRPr="00E70094">
        <w:rPr>
          <w:lang w:val="fr-LU" w:eastAsia="fr-LU"/>
        </w:rPr>
        <w:t>,</w:t>
      </w:r>
      <w:r w:rsidR="00593577" w:rsidRPr="00E70094">
        <w:rPr>
          <w:lang w:val="fr-LU" w:eastAsia="fr-LU"/>
        </w:rPr>
        <w:t>2</w:t>
      </w:r>
      <w:r w:rsidR="00CA76F8" w:rsidRPr="00E70094">
        <w:rPr>
          <w:lang w:val="fr-LU" w:eastAsia="fr-LU"/>
        </w:rPr>
        <w:t>3</w:t>
      </w:r>
      <w:r w:rsidRPr="00E70094">
        <w:rPr>
          <w:lang w:val="fr-LU" w:eastAsia="fr-LU"/>
        </w:rPr>
        <w:t xml:space="preserve"> EUR</w:t>
      </w:r>
    </w:p>
    <w:p w:rsidR="004460F4" w:rsidRPr="00E70094" w:rsidRDefault="004460F4" w:rsidP="00A6102E">
      <w:pPr>
        <w:tabs>
          <w:tab w:val="left" w:pos="6946"/>
        </w:tabs>
        <w:autoSpaceDE w:val="0"/>
        <w:autoSpaceDN w:val="0"/>
        <w:adjustRightInd w:val="0"/>
        <w:jc w:val="both"/>
        <w:rPr>
          <w:bCs/>
          <w:lang w:val="fr-LU" w:eastAsia="fr-LU"/>
        </w:rPr>
      </w:pPr>
      <w:r w:rsidRPr="00E70094">
        <w:rPr>
          <w:lang w:val="fr-LU" w:eastAsia="fr-LU"/>
        </w:rPr>
        <w:t xml:space="preserve">III – Excédent de </w:t>
      </w:r>
      <w:r w:rsidR="00593577" w:rsidRPr="00E70094">
        <w:rPr>
          <w:lang w:val="fr-LU" w:eastAsia="fr-LU"/>
        </w:rPr>
        <w:t>dépens</w:t>
      </w:r>
      <w:r w:rsidR="00CA76F8" w:rsidRPr="00E70094">
        <w:rPr>
          <w:lang w:val="fr-LU" w:eastAsia="fr-LU"/>
        </w:rPr>
        <w:t>es</w:t>
      </w:r>
      <w:r w:rsidR="00A93FDD" w:rsidRPr="00E70094">
        <w:rPr>
          <w:lang w:val="fr-LU" w:eastAsia="fr-LU"/>
        </w:rPr>
        <w:t xml:space="preserve"> </w:t>
      </w:r>
      <w:r w:rsidRPr="00E70094">
        <w:rPr>
          <w:lang w:val="fr-LU" w:eastAsia="fr-LU"/>
        </w:rPr>
        <w:t xml:space="preserve">pour ordre </w:t>
      </w:r>
      <w:r w:rsidR="000854BE" w:rsidRPr="00E70094">
        <w:rPr>
          <w:lang w:val="fr-LU" w:eastAsia="fr-LU"/>
        </w:rPr>
        <w:tab/>
        <w:t xml:space="preserve">     </w:t>
      </w:r>
      <w:r w:rsidR="00593577" w:rsidRPr="00E70094">
        <w:rPr>
          <w:lang w:val="fr-LU" w:eastAsia="fr-LU"/>
        </w:rPr>
        <w:t xml:space="preserve">     </w:t>
      </w:r>
      <w:r w:rsidR="00CA76F8" w:rsidRPr="00E70094">
        <w:rPr>
          <w:bCs/>
          <w:lang w:val="fr-LU" w:eastAsia="fr-LU"/>
        </w:rPr>
        <w:t>6</w:t>
      </w:r>
      <w:r w:rsidR="00593577" w:rsidRPr="00E70094">
        <w:rPr>
          <w:bCs/>
          <w:lang w:val="fr-LU" w:eastAsia="fr-LU"/>
        </w:rPr>
        <w:t>76</w:t>
      </w:r>
      <w:r w:rsidRPr="00E70094">
        <w:rPr>
          <w:bCs/>
          <w:lang w:val="fr-LU" w:eastAsia="fr-LU"/>
        </w:rPr>
        <w:t>.</w:t>
      </w:r>
      <w:r w:rsidR="00593577" w:rsidRPr="00E70094">
        <w:rPr>
          <w:bCs/>
          <w:lang w:val="fr-LU" w:eastAsia="fr-LU"/>
        </w:rPr>
        <w:t>228</w:t>
      </w:r>
      <w:r w:rsidRPr="00E70094">
        <w:rPr>
          <w:bCs/>
          <w:lang w:val="fr-LU" w:eastAsia="fr-LU"/>
        </w:rPr>
        <w:t>,</w:t>
      </w:r>
      <w:r w:rsidR="00593577" w:rsidRPr="00E70094">
        <w:rPr>
          <w:bCs/>
          <w:lang w:val="fr-LU" w:eastAsia="fr-LU"/>
        </w:rPr>
        <w:t>91</w:t>
      </w:r>
      <w:r w:rsidRPr="00E70094">
        <w:rPr>
          <w:bCs/>
          <w:lang w:val="fr-LU" w:eastAsia="fr-LU"/>
        </w:rPr>
        <w:t xml:space="preserve"> EUR</w:t>
      </w:r>
    </w:p>
    <w:p w:rsidR="003E3317" w:rsidRPr="00E70094" w:rsidRDefault="00E001A5" w:rsidP="00A6102E">
      <w:pPr>
        <w:tabs>
          <w:tab w:val="left" w:pos="6946"/>
        </w:tabs>
        <w:autoSpaceDE w:val="0"/>
        <w:autoSpaceDN w:val="0"/>
        <w:adjustRightInd w:val="0"/>
      </w:pPr>
      <w:r w:rsidRPr="00E70094">
        <w:t xml:space="preserve">IV - </w:t>
      </w:r>
      <w:r w:rsidR="003E3317" w:rsidRPr="00E70094">
        <w:t>Report du solde des recettes et dépenses pour ordre</w:t>
      </w:r>
      <w:r w:rsidR="00D26B8D" w:rsidRPr="00E70094">
        <w:t> </w:t>
      </w:r>
      <w:r w:rsidR="00827805" w:rsidRPr="00E70094">
        <w:tab/>
      </w:r>
      <w:r w:rsidR="00827805" w:rsidRPr="00E70094">
        <w:tab/>
        <w:t xml:space="preserve"> </w:t>
      </w:r>
      <w:r w:rsidR="00593577" w:rsidRPr="00E70094">
        <w:t xml:space="preserve">  </w:t>
      </w:r>
      <w:r w:rsidR="00DD0368" w:rsidRPr="00E70094">
        <w:t>2</w:t>
      </w:r>
      <w:r w:rsidR="00593577" w:rsidRPr="00E70094">
        <w:t>3</w:t>
      </w:r>
      <w:r w:rsidR="003E3317" w:rsidRPr="00E70094">
        <w:rPr>
          <w:bCs/>
          <w:lang w:val="fr-LU" w:eastAsia="fr-LU"/>
        </w:rPr>
        <w:t>.</w:t>
      </w:r>
      <w:r w:rsidR="00593577" w:rsidRPr="00E70094">
        <w:rPr>
          <w:bCs/>
          <w:lang w:val="fr-LU" w:eastAsia="fr-LU"/>
        </w:rPr>
        <w:t>463</w:t>
      </w:r>
      <w:r w:rsidR="003E3317" w:rsidRPr="00E70094">
        <w:rPr>
          <w:bCs/>
          <w:lang w:val="fr-LU" w:eastAsia="fr-LU"/>
        </w:rPr>
        <w:t>.</w:t>
      </w:r>
      <w:r w:rsidR="00593577" w:rsidRPr="00E70094">
        <w:rPr>
          <w:bCs/>
          <w:lang w:val="fr-LU" w:eastAsia="fr-LU"/>
        </w:rPr>
        <w:t>425</w:t>
      </w:r>
      <w:r w:rsidR="003E3317" w:rsidRPr="00E70094">
        <w:rPr>
          <w:bCs/>
          <w:lang w:val="fr-LU" w:eastAsia="fr-LU"/>
        </w:rPr>
        <w:t>,</w:t>
      </w:r>
      <w:r w:rsidR="00593577" w:rsidRPr="00E70094">
        <w:rPr>
          <w:bCs/>
          <w:lang w:val="fr-LU" w:eastAsia="fr-LU"/>
        </w:rPr>
        <w:t>56</w:t>
      </w:r>
      <w:r w:rsidR="003E3317" w:rsidRPr="00E70094">
        <w:t xml:space="preserve"> EUR</w:t>
      </w:r>
      <w:r w:rsidR="00AA66B7" w:rsidRPr="00E70094">
        <w:tab/>
        <w:t xml:space="preserve">    </w:t>
      </w:r>
      <w:r w:rsidR="003E3317" w:rsidRPr="00E70094">
        <w:t xml:space="preserve">     </w:t>
      </w:r>
    </w:p>
    <w:p w:rsidR="003E3317" w:rsidRPr="00B26466" w:rsidRDefault="003E3317" w:rsidP="00A6102E">
      <w:pPr>
        <w:tabs>
          <w:tab w:val="left" w:pos="6946"/>
        </w:tabs>
        <w:autoSpaceDE w:val="0"/>
        <w:autoSpaceDN w:val="0"/>
        <w:adjustRightInd w:val="0"/>
        <w:jc w:val="both"/>
        <w:rPr>
          <w:color w:val="0070C0"/>
        </w:rPr>
      </w:pPr>
    </w:p>
    <w:p w:rsidR="00EF257C" w:rsidRPr="00E70094" w:rsidRDefault="00EF257C" w:rsidP="00A6102E">
      <w:pPr>
        <w:tabs>
          <w:tab w:val="left" w:pos="6946"/>
        </w:tabs>
        <w:autoSpaceDE w:val="0"/>
        <w:autoSpaceDN w:val="0"/>
        <w:adjustRightInd w:val="0"/>
        <w:jc w:val="center"/>
        <w:rPr>
          <w:b/>
          <w:bCs/>
          <w:i/>
          <w:iCs/>
        </w:rPr>
      </w:pPr>
      <w:r w:rsidRPr="00E70094">
        <w:rPr>
          <w:b/>
          <w:bCs/>
        </w:rPr>
        <w:t xml:space="preserve">C.– </w:t>
      </w:r>
      <w:r w:rsidRPr="00E70094">
        <w:rPr>
          <w:b/>
          <w:bCs/>
          <w:i/>
          <w:iCs/>
        </w:rPr>
        <w:t>Recettes et dépenses des fonds déposés à la Trésorerie de l’Etat</w:t>
      </w:r>
    </w:p>
    <w:p w:rsidR="00EF257C" w:rsidRPr="00E70094" w:rsidRDefault="00EF257C" w:rsidP="00A6102E">
      <w:pPr>
        <w:tabs>
          <w:tab w:val="left" w:pos="6946"/>
        </w:tabs>
        <w:autoSpaceDE w:val="0"/>
        <w:autoSpaceDN w:val="0"/>
        <w:adjustRightInd w:val="0"/>
      </w:pPr>
    </w:p>
    <w:p w:rsidR="00EF257C" w:rsidRPr="00E70094" w:rsidRDefault="00A6102E" w:rsidP="00A6102E">
      <w:pPr>
        <w:tabs>
          <w:tab w:val="left" w:pos="6946"/>
        </w:tabs>
        <w:autoSpaceDE w:val="0"/>
        <w:autoSpaceDN w:val="0"/>
        <w:adjustRightInd w:val="0"/>
      </w:pPr>
      <w:r w:rsidRPr="00E70094">
        <w:t>I</w:t>
      </w:r>
      <w:r w:rsidR="009B447D" w:rsidRPr="00E70094">
        <w:t xml:space="preserve"> -</w:t>
      </w:r>
      <w:r w:rsidRPr="00E70094">
        <w:t xml:space="preserve"> Recettes </w:t>
      </w:r>
      <w:r w:rsidRPr="00E70094">
        <w:tab/>
      </w:r>
      <w:r w:rsidR="00E70094" w:rsidRPr="00E70094">
        <w:t>3</w:t>
      </w:r>
      <w:r w:rsidR="00EF257C" w:rsidRPr="00E70094">
        <w:t>.</w:t>
      </w:r>
      <w:r w:rsidR="00E70094" w:rsidRPr="00E70094">
        <w:t>386</w:t>
      </w:r>
      <w:r w:rsidR="00EF257C" w:rsidRPr="00E70094">
        <w:t>.</w:t>
      </w:r>
      <w:r w:rsidR="00E70094" w:rsidRPr="00E70094">
        <w:t>647</w:t>
      </w:r>
      <w:r w:rsidR="00EF257C" w:rsidRPr="00E70094">
        <w:t>.</w:t>
      </w:r>
      <w:r w:rsidR="00E70094" w:rsidRPr="00E70094">
        <w:t>024</w:t>
      </w:r>
      <w:r w:rsidR="00EF257C" w:rsidRPr="00E70094">
        <w:t>,</w:t>
      </w:r>
      <w:r w:rsidR="001101E4" w:rsidRPr="00E70094">
        <w:t>9</w:t>
      </w:r>
      <w:r w:rsidR="00E70094" w:rsidRPr="00E70094">
        <w:t>1</w:t>
      </w:r>
      <w:r w:rsidRPr="00E70094">
        <w:t xml:space="preserve"> EUR</w:t>
      </w:r>
    </w:p>
    <w:p w:rsidR="00EF257C" w:rsidRPr="00E70094" w:rsidRDefault="00A6102E" w:rsidP="00A6102E">
      <w:pPr>
        <w:tabs>
          <w:tab w:val="left" w:pos="6946"/>
        </w:tabs>
        <w:autoSpaceDE w:val="0"/>
        <w:autoSpaceDN w:val="0"/>
        <w:adjustRightInd w:val="0"/>
      </w:pPr>
      <w:r w:rsidRPr="00E70094">
        <w:t>II</w:t>
      </w:r>
      <w:r w:rsidR="009B447D" w:rsidRPr="00E70094">
        <w:t xml:space="preserve"> -</w:t>
      </w:r>
      <w:r w:rsidRPr="00E70094">
        <w:t xml:space="preserve"> Dépenses </w:t>
      </w:r>
      <w:r w:rsidRPr="00E70094">
        <w:tab/>
      </w:r>
      <w:r w:rsidR="00396158" w:rsidRPr="00E70094">
        <w:t>3</w:t>
      </w:r>
      <w:r w:rsidR="00EF257C" w:rsidRPr="00E70094">
        <w:t>.</w:t>
      </w:r>
      <w:r w:rsidR="00E70094" w:rsidRPr="00E70094">
        <w:t>425</w:t>
      </w:r>
      <w:r w:rsidR="00EF257C" w:rsidRPr="00E70094">
        <w:t>.</w:t>
      </w:r>
      <w:r w:rsidR="00E70094" w:rsidRPr="00E70094">
        <w:t>527</w:t>
      </w:r>
      <w:r w:rsidR="00EF257C" w:rsidRPr="00E70094">
        <w:t>.</w:t>
      </w:r>
      <w:r w:rsidR="00E70094" w:rsidRPr="00E70094">
        <w:t>425</w:t>
      </w:r>
      <w:r w:rsidR="00EF257C" w:rsidRPr="00E70094">
        <w:t>,</w:t>
      </w:r>
      <w:r w:rsidR="00E70094" w:rsidRPr="00E70094">
        <w:t>01</w:t>
      </w:r>
      <w:r w:rsidRPr="00E70094">
        <w:t xml:space="preserve"> EUR</w:t>
      </w:r>
    </w:p>
    <w:p w:rsidR="00EF257C" w:rsidRPr="00E70094" w:rsidRDefault="00EF257C" w:rsidP="00A6102E">
      <w:pPr>
        <w:tabs>
          <w:tab w:val="left" w:pos="6946"/>
        </w:tabs>
        <w:autoSpaceDE w:val="0"/>
        <w:autoSpaceDN w:val="0"/>
        <w:adjustRightInd w:val="0"/>
      </w:pPr>
      <w:r w:rsidRPr="00E70094">
        <w:t>III</w:t>
      </w:r>
      <w:r w:rsidR="009B447D" w:rsidRPr="00E70094">
        <w:t xml:space="preserve"> -</w:t>
      </w:r>
      <w:r w:rsidRPr="00E70094">
        <w:t xml:space="preserve"> Excédent de </w:t>
      </w:r>
      <w:r w:rsidR="001101E4" w:rsidRPr="00E70094">
        <w:t>dépenses</w:t>
      </w:r>
      <w:r w:rsidR="00A6102E" w:rsidRPr="00E70094">
        <w:t xml:space="preserve"> </w:t>
      </w:r>
      <w:r w:rsidR="00A6102E" w:rsidRPr="00E70094">
        <w:tab/>
        <w:t xml:space="preserve">   </w:t>
      </w:r>
      <w:r w:rsidR="00E70094" w:rsidRPr="00E70094">
        <w:t xml:space="preserve">  38</w:t>
      </w:r>
      <w:r w:rsidRPr="00E70094">
        <w:t>.</w:t>
      </w:r>
      <w:r w:rsidR="00E70094" w:rsidRPr="00E70094">
        <w:t>880</w:t>
      </w:r>
      <w:r w:rsidRPr="00E70094">
        <w:t>.</w:t>
      </w:r>
      <w:r w:rsidR="00E70094" w:rsidRPr="00E70094">
        <w:t>400</w:t>
      </w:r>
      <w:r w:rsidRPr="00E70094">
        <w:t>,</w:t>
      </w:r>
      <w:r w:rsidR="00E70094" w:rsidRPr="00E70094">
        <w:t>10</w:t>
      </w:r>
      <w:r w:rsidR="00A6102E" w:rsidRPr="00E70094">
        <w:t xml:space="preserve"> EUR</w:t>
      </w:r>
    </w:p>
    <w:p w:rsidR="00EF257C" w:rsidRPr="00E70094" w:rsidRDefault="009B447D" w:rsidP="00A6102E">
      <w:pPr>
        <w:tabs>
          <w:tab w:val="left" w:pos="6946"/>
        </w:tabs>
        <w:autoSpaceDE w:val="0"/>
        <w:autoSpaceDN w:val="0"/>
        <w:adjustRightInd w:val="0"/>
      </w:pPr>
      <w:r w:rsidRPr="00E70094">
        <w:t>IV -</w:t>
      </w:r>
      <w:r w:rsidR="00EF257C" w:rsidRPr="00E70094">
        <w:t xml:space="preserve"> Report du solde des recettes et dépenses</w:t>
      </w:r>
      <w:r w:rsidR="00D26B8D" w:rsidRPr="00E70094">
        <w:t> </w:t>
      </w:r>
      <w:r w:rsidR="00396158" w:rsidRPr="00E70094">
        <w:t xml:space="preserve"> </w:t>
      </w:r>
      <w:r w:rsidR="00396158" w:rsidRPr="00E70094">
        <w:tab/>
      </w:r>
      <w:r w:rsidR="00B3237D" w:rsidRPr="00E70094">
        <w:t>2</w:t>
      </w:r>
      <w:r w:rsidR="00EF257C" w:rsidRPr="00E70094">
        <w:t>.</w:t>
      </w:r>
      <w:r w:rsidR="00B3237D" w:rsidRPr="00E70094">
        <w:t>8</w:t>
      </w:r>
      <w:r w:rsidR="00E70094" w:rsidRPr="00E70094">
        <w:t>23</w:t>
      </w:r>
      <w:r w:rsidR="00EF257C" w:rsidRPr="00E70094">
        <w:t>.</w:t>
      </w:r>
      <w:r w:rsidR="00E70094" w:rsidRPr="00E70094">
        <w:t>893</w:t>
      </w:r>
      <w:r w:rsidR="00EF257C" w:rsidRPr="00E70094">
        <w:t>.</w:t>
      </w:r>
      <w:r w:rsidR="00E70094" w:rsidRPr="00E70094">
        <w:t>511</w:t>
      </w:r>
      <w:r w:rsidR="00EF257C" w:rsidRPr="00E70094">
        <w:t>,</w:t>
      </w:r>
      <w:r w:rsidR="00E70094" w:rsidRPr="00E70094">
        <w:t>1</w:t>
      </w:r>
      <w:r w:rsidR="00B3237D" w:rsidRPr="00E70094">
        <w:t>9</w:t>
      </w:r>
      <w:r w:rsidR="00A6102E" w:rsidRPr="00E70094">
        <w:t xml:space="preserve"> EUR</w:t>
      </w:r>
    </w:p>
    <w:p w:rsidR="00EF257C" w:rsidRPr="00B26466" w:rsidRDefault="00EF257C" w:rsidP="00EF257C">
      <w:pPr>
        <w:autoSpaceDE w:val="0"/>
        <w:autoSpaceDN w:val="0"/>
        <w:adjustRightInd w:val="0"/>
        <w:jc w:val="center"/>
        <w:rPr>
          <w:color w:val="0070C0"/>
        </w:rPr>
      </w:pPr>
    </w:p>
    <w:p w:rsidR="00EF257C" w:rsidRPr="00B26466" w:rsidRDefault="00EF257C" w:rsidP="00EF257C">
      <w:pPr>
        <w:autoSpaceDE w:val="0"/>
        <w:autoSpaceDN w:val="0"/>
        <w:adjustRightInd w:val="0"/>
        <w:jc w:val="both"/>
        <w:rPr>
          <w:color w:val="0070C0"/>
        </w:rPr>
      </w:pPr>
    </w:p>
    <w:p w:rsidR="00EF257C" w:rsidRPr="00807C81" w:rsidRDefault="00EF257C" w:rsidP="00EF257C">
      <w:pPr>
        <w:autoSpaceDE w:val="0"/>
        <w:autoSpaceDN w:val="0"/>
        <w:adjustRightInd w:val="0"/>
        <w:jc w:val="both"/>
      </w:pPr>
      <w:r w:rsidRPr="00807C81">
        <w:t>Par rapport au budget définitif de l'exercice 20</w:t>
      </w:r>
      <w:r w:rsidR="00CA76F8" w:rsidRPr="00807C81">
        <w:t>1</w:t>
      </w:r>
      <w:r w:rsidR="00807C81" w:rsidRPr="00807C81">
        <w:t>1</w:t>
      </w:r>
      <w:r w:rsidRPr="00807C81">
        <w:t xml:space="preserve">, les </w:t>
      </w:r>
      <w:r w:rsidRPr="00807C81">
        <w:rPr>
          <w:b/>
          <w:u w:val="single"/>
        </w:rPr>
        <w:t>variations</w:t>
      </w:r>
      <w:r w:rsidRPr="00807C81">
        <w:rPr>
          <w:u w:val="single"/>
        </w:rPr>
        <w:t xml:space="preserve"> </w:t>
      </w:r>
      <w:r w:rsidRPr="00807C81">
        <w:t xml:space="preserve">sont les suivantes : </w:t>
      </w:r>
    </w:p>
    <w:p w:rsidR="00C60CD3" w:rsidRPr="00B26466" w:rsidRDefault="00C60CD3" w:rsidP="00C60CD3">
      <w:pPr>
        <w:autoSpaceDE w:val="0"/>
        <w:autoSpaceDN w:val="0"/>
        <w:adjustRightInd w:val="0"/>
        <w:jc w:val="both"/>
        <w:rPr>
          <w:color w:val="0070C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7"/>
        <w:gridCol w:w="311"/>
        <w:gridCol w:w="1815"/>
        <w:gridCol w:w="1843"/>
        <w:gridCol w:w="1842"/>
        <w:gridCol w:w="1134"/>
      </w:tblGrid>
      <w:tr w:rsidR="0073149F" w:rsidRPr="00807C81" w:rsidTr="00D17DDD">
        <w:tblPrEx>
          <w:tblCellMar>
            <w:top w:w="0" w:type="dxa"/>
            <w:bottom w:w="0" w:type="dxa"/>
          </w:tblCellMar>
        </w:tblPrEx>
        <w:trPr>
          <w:cantSplit/>
          <w:trHeight w:val="312"/>
        </w:trPr>
        <w:tc>
          <w:tcPr>
            <w:tcW w:w="1947" w:type="dxa"/>
            <w:vMerge w:val="restart"/>
          </w:tcPr>
          <w:p w:rsidR="0073149F" w:rsidRPr="00807C81" w:rsidRDefault="0073149F" w:rsidP="00B14A0D">
            <w:pPr>
              <w:tabs>
                <w:tab w:val="left" w:pos="1800"/>
              </w:tabs>
              <w:rPr>
                <w:rFonts w:ascii="Arial" w:hAnsi="Arial"/>
                <w:sz w:val="18"/>
                <w:szCs w:val="18"/>
              </w:rPr>
            </w:pPr>
          </w:p>
        </w:tc>
        <w:tc>
          <w:tcPr>
            <w:tcW w:w="2126" w:type="dxa"/>
            <w:gridSpan w:val="2"/>
            <w:vMerge w:val="restart"/>
          </w:tcPr>
          <w:p w:rsidR="0073149F" w:rsidRPr="00807C81" w:rsidRDefault="0073149F" w:rsidP="00B14A0D">
            <w:pPr>
              <w:tabs>
                <w:tab w:val="left" w:pos="1800"/>
              </w:tabs>
              <w:rPr>
                <w:rFonts w:ascii="Arial" w:hAnsi="Arial"/>
                <w:sz w:val="18"/>
                <w:szCs w:val="18"/>
              </w:rPr>
            </w:pPr>
            <w:r w:rsidRPr="00807C81">
              <w:rPr>
                <w:rFonts w:ascii="Arial" w:hAnsi="Arial"/>
                <w:sz w:val="18"/>
                <w:szCs w:val="18"/>
              </w:rPr>
              <w:t xml:space="preserve">   </w:t>
            </w:r>
          </w:p>
          <w:p w:rsidR="0073149F" w:rsidRPr="00807C81" w:rsidRDefault="0073149F" w:rsidP="00B14A0D">
            <w:pPr>
              <w:tabs>
                <w:tab w:val="left" w:pos="1800"/>
              </w:tabs>
              <w:jc w:val="center"/>
              <w:rPr>
                <w:rFonts w:ascii="Arial" w:hAnsi="Arial"/>
                <w:sz w:val="18"/>
                <w:szCs w:val="18"/>
              </w:rPr>
            </w:pPr>
            <w:r w:rsidRPr="00807C81">
              <w:rPr>
                <w:rFonts w:ascii="Arial" w:hAnsi="Arial"/>
                <w:sz w:val="18"/>
                <w:szCs w:val="18"/>
              </w:rPr>
              <w:t>Budget définitif</w:t>
            </w:r>
          </w:p>
          <w:p w:rsidR="0073149F" w:rsidRPr="00807C81" w:rsidRDefault="0073149F" w:rsidP="00807C81">
            <w:pPr>
              <w:tabs>
                <w:tab w:val="left" w:pos="1800"/>
              </w:tabs>
              <w:jc w:val="center"/>
              <w:rPr>
                <w:rFonts w:ascii="Arial" w:hAnsi="Arial"/>
                <w:sz w:val="18"/>
                <w:szCs w:val="18"/>
              </w:rPr>
            </w:pPr>
            <w:r w:rsidRPr="00807C81">
              <w:rPr>
                <w:rFonts w:ascii="Arial" w:hAnsi="Arial"/>
                <w:sz w:val="18"/>
                <w:szCs w:val="18"/>
              </w:rPr>
              <w:t>20</w:t>
            </w:r>
            <w:r w:rsidR="006D3C4F" w:rsidRPr="00807C81">
              <w:rPr>
                <w:rFonts w:ascii="Arial" w:hAnsi="Arial"/>
                <w:sz w:val="18"/>
                <w:szCs w:val="18"/>
              </w:rPr>
              <w:t>1</w:t>
            </w:r>
            <w:r w:rsidR="00807C81" w:rsidRPr="00807C81">
              <w:rPr>
                <w:rFonts w:ascii="Arial" w:hAnsi="Arial"/>
                <w:sz w:val="18"/>
                <w:szCs w:val="18"/>
              </w:rPr>
              <w:t>1</w:t>
            </w:r>
          </w:p>
        </w:tc>
        <w:tc>
          <w:tcPr>
            <w:tcW w:w="1843" w:type="dxa"/>
            <w:vMerge w:val="restart"/>
          </w:tcPr>
          <w:p w:rsidR="0073149F" w:rsidRPr="00807C81" w:rsidRDefault="0073149F" w:rsidP="00B14A0D">
            <w:pPr>
              <w:tabs>
                <w:tab w:val="left" w:pos="1800"/>
              </w:tabs>
              <w:ind w:left="-41" w:firstLine="49"/>
              <w:rPr>
                <w:rFonts w:ascii="Arial" w:hAnsi="Arial"/>
                <w:sz w:val="18"/>
                <w:szCs w:val="18"/>
              </w:rPr>
            </w:pPr>
          </w:p>
          <w:p w:rsidR="0073149F" w:rsidRPr="00807C81" w:rsidRDefault="0073149F" w:rsidP="00B14A0D">
            <w:pPr>
              <w:tabs>
                <w:tab w:val="left" w:pos="1800"/>
              </w:tabs>
              <w:ind w:left="-41" w:firstLine="49"/>
              <w:jc w:val="center"/>
              <w:rPr>
                <w:rFonts w:ascii="Arial" w:hAnsi="Arial"/>
                <w:sz w:val="18"/>
                <w:szCs w:val="18"/>
              </w:rPr>
            </w:pPr>
            <w:r w:rsidRPr="00807C81">
              <w:rPr>
                <w:rFonts w:ascii="Arial" w:hAnsi="Arial"/>
                <w:sz w:val="18"/>
                <w:szCs w:val="18"/>
              </w:rPr>
              <w:t>Compte général</w:t>
            </w:r>
          </w:p>
          <w:p w:rsidR="0073149F" w:rsidRPr="00807C81" w:rsidRDefault="0073149F" w:rsidP="00807C81">
            <w:pPr>
              <w:tabs>
                <w:tab w:val="left" w:pos="1800"/>
              </w:tabs>
              <w:ind w:left="-41" w:firstLine="49"/>
              <w:jc w:val="center"/>
              <w:rPr>
                <w:rFonts w:ascii="Arial" w:hAnsi="Arial"/>
                <w:sz w:val="18"/>
                <w:szCs w:val="18"/>
              </w:rPr>
            </w:pPr>
            <w:r w:rsidRPr="00807C81">
              <w:rPr>
                <w:rFonts w:ascii="Arial" w:hAnsi="Arial"/>
                <w:sz w:val="18"/>
                <w:szCs w:val="18"/>
              </w:rPr>
              <w:t>20</w:t>
            </w:r>
            <w:r w:rsidR="006D3C4F" w:rsidRPr="00807C81">
              <w:rPr>
                <w:rFonts w:ascii="Arial" w:hAnsi="Arial"/>
                <w:sz w:val="18"/>
                <w:szCs w:val="18"/>
              </w:rPr>
              <w:t>1</w:t>
            </w:r>
            <w:r w:rsidR="00807C81" w:rsidRPr="00807C81">
              <w:rPr>
                <w:rFonts w:ascii="Arial" w:hAnsi="Arial"/>
                <w:sz w:val="18"/>
                <w:szCs w:val="18"/>
              </w:rPr>
              <w:t>1</w:t>
            </w:r>
          </w:p>
        </w:tc>
        <w:tc>
          <w:tcPr>
            <w:tcW w:w="2976" w:type="dxa"/>
            <w:gridSpan w:val="2"/>
            <w:tcBorders>
              <w:bottom w:val="single" w:sz="4" w:space="0" w:color="auto"/>
            </w:tcBorders>
            <w:vAlign w:val="center"/>
          </w:tcPr>
          <w:p w:rsidR="0073149F" w:rsidRPr="00807C81" w:rsidRDefault="0073149F" w:rsidP="00B14A0D">
            <w:pPr>
              <w:tabs>
                <w:tab w:val="left" w:pos="1800"/>
              </w:tabs>
              <w:rPr>
                <w:rFonts w:ascii="Arial" w:hAnsi="Arial"/>
                <w:sz w:val="18"/>
                <w:szCs w:val="18"/>
              </w:rPr>
            </w:pPr>
            <w:r w:rsidRPr="00807C81">
              <w:rPr>
                <w:rFonts w:ascii="Arial" w:hAnsi="Arial"/>
                <w:sz w:val="18"/>
                <w:szCs w:val="18"/>
              </w:rPr>
              <w:t xml:space="preserve">              </w:t>
            </w:r>
          </w:p>
          <w:p w:rsidR="0073149F" w:rsidRPr="00807C81" w:rsidRDefault="0073149F" w:rsidP="00B14A0D">
            <w:pPr>
              <w:tabs>
                <w:tab w:val="left" w:pos="1800"/>
              </w:tabs>
              <w:jc w:val="center"/>
              <w:rPr>
                <w:rFonts w:ascii="Arial" w:hAnsi="Arial"/>
                <w:sz w:val="18"/>
                <w:szCs w:val="18"/>
              </w:rPr>
            </w:pPr>
            <w:r w:rsidRPr="00807C81">
              <w:rPr>
                <w:rFonts w:ascii="Arial" w:hAnsi="Arial"/>
                <w:sz w:val="18"/>
                <w:szCs w:val="18"/>
              </w:rPr>
              <w:t>Variations</w:t>
            </w:r>
          </w:p>
          <w:p w:rsidR="0073149F" w:rsidRPr="00807C81" w:rsidRDefault="0073149F" w:rsidP="00B14A0D">
            <w:pPr>
              <w:tabs>
                <w:tab w:val="left" w:pos="1800"/>
              </w:tabs>
              <w:rPr>
                <w:rFonts w:ascii="Arial" w:hAnsi="Arial"/>
                <w:sz w:val="18"/>
                <w:szCs w:val="18"/>
              </w:rPr>
            </w:pPr>
          </w:p>
        </w:tc>
      </w:tr>
      <w:tr w:rsidR="0073149F" w:rsidRPr="00B26466" w:rsidTr="00D17DDD">
        <w:tblPrEx>
          <w:tblCellMar>
            <w:top w:w="0" w:type="dxa"/>
            <w:bottom w:w="0" w:type="dxa"/>
          </w:tblCellMar>
        </w:tblPrEx>
        <w:trPr>
          <w:cantSplit/>
          <w:trHeight w:val="231"/>
        </w:trPr>
        <w:tc>
          <w:tcPr>
            <w:tcW w:w="1947" w:type="dxa"/>
            <w:vMerge/>
            <w:tcBorders>
              <w:bottom w:val="nil"/>
            </w:tcBorders>
          </w:tcPr>
          <w:p w:rsidR="0073149F" w:rsidRPr="00B26466" w:rsidRDefault="0073149F" w:rsidP="00B14A0D">
            <w:pPr>
              <w:tabs>
                <w:tab w:val="left" w:pos="1800"/>
              </w:tabs>
              <w:rPr>
                <w:rFonts w:ascii="Arial" w:hAnsi="Arial"/>
                <w:color w:val="0070C0"/>
                <w:sz w:val="18"/>
                <w:szCs w:val="18"/>
              </w:rPr>
            </w:pPr>
          </w:p>
        </w:tc>
        <w:tc>
          <w:tcPr>
            <w:tcW w:w="2126" w:type="dxa"/>
            <w:gridSpan w:val="2"/>
            <w:vMerge/>
            <w:tcBorders>
              <w:bottom w:val="nil"/>
            </w:tcBorders>
          </w:tcPr>
          <w:p w:rsidR="0073149F" w:rsidRPr="00B26466" w:rsidRDefault="0073149F" w:rsidP="00B14A0D">
            <w:pPr>
              <w:tabs>
                <w:tab w:val="left" w:pos="1800"/>
              </w:tabs>
              <w:rPr>
                <w:rFonts w:ascii="Arial" w:hAnsi="Arial"/>
                <w:color w:val="0070C0"/>
                <w:sz w:val="18"/>
                <w:szCs w:val="18"/>
              </w:rPr>
            </w:pPr>
          </w:p>
        </w:tc>
        <w:tc>
          <w:tcPr>
            <w:tcW w:w="1843" w:type="dxa"/>
            <w:vMerge/>
            <w:tcBorders>
              <w:bottom w:val="nil"/>
            </w:tcBorders>
          </w:tcPr>
          <w:p w:rsidR="0073149F" w:rsidRPr="00B26466" w:rsidRDefault="0073149F" w:rsidP="00B14A0D">
            <w:pPr>
              <w:tabs>
                <w:tab w:val="left" w:pos="1800"/>
              </w:tabs>
              <w:ind w:left="-41" w:firstLine="49"/>
              <w:rPr>
                <w:rFonts w:ascii="Arial" w:hAnsi="Arial"/>
                <w:color w:val="0070C0"/>
                <w:sz w:val="18"/>
                <w:szCs w:val="18"/>
              </w:rPr>
            </w:pPr>
          </w:p>
        </w:tc>
        <w:tc>
          <w:tcPr>
            <w:tcW w:w="1842" w:type="dxa"/>
            <w:tcBorders>
              <w:bottom w:val="single" w:sz="4" w:space="0" w:color="auto"/>
            </w:tcBorders>
            <w:vAlign w:val="center"/>
          </w:tcPr>
          <w:p w:rsidR="0073149F" w:rsidRPr="00807C81" w:rsidRDefault="0073149F" w:rsidP="00B14A0D">
            <w:pPr>
              <w:tabs>
                <w:tab w:val="left" w:pos="1800"/>
              </w:tabs>
              <w:jc w:val="center"/>
              <w:rPr>
                <w:rFonts w:ascii="Arial" w:hAnsi="Arial"/>
                <w:sz w:val="18"/>
                <w:szCs w:val="18"/>
              </w:rPr>
            </w:pPr>
            <w:r w:rsidRPr="00807C81">
              <w:rPr>
                <w:rFonts w:ascii="Arial" w:hAnsi="Arial"/>
                <w:sz w:val="18"/>
                <w:szCs w:val="18"/>
              </w:rPr>
              <w:t>en valeur</w:t>
            </w:r>
          </w:p>
        </w:tc>
        <w:tc>
          <w:tcPr>
            <w:tcW w:w="1134" w:type="dxa"/>
            <w:tcBorders>
              <w:bottom w:val="single" w:sz="4" w:space="0" w:color="auto"/>
            </w:tcBorders>
            <w:vAlign w:val="center"/>
          </w:tcPr>
          <w:p w:rsidR="0073149F" w:rsidRPr="00807C81" w:rsidRDefault="0073149F" w:rsidP="00B14A0D">
            <w:pPr>
              <w:tabs>
                <w:tab w:val="left" w:pos="1800"/>
              </w:tabs>
              <w:ind w:left="14"/>
              <w:jc w:val="center"/>
              <w:rPr>
                <w:rFonts w:ascii="Arial" w:hAnsi="Arial"/>
                <w:sz w:val="18"/>
                <w:szCs w:val="18"/>
              </w:rPr>
            </w:pPr>
            <w:r w:rsidRPr="00807C81">
              <w:rPr>
                <w:rFonts w:ascii="Arial" w:hAnsi="Arial"/>
                <w:sz w:val="18"/>
                <w:szCs w:val="18"/>
              </w:rPr>
              <w:t>en %</w:t>
            </w:r>
          </w:p>
        </w:tc>
      </w:tr>
      <w:tr w:rsidR="0073149F" w:rsidRPr="00B26466" w:rsidTr="00D17DDD">
        <w:tblPrEx>
          <w:tblCellMar>
            <w:top w:w="0" w:type="dxa"/>
            <w:bottom w:w="0" w:type="dxa"/>
          </w:tblCellMar>
        </w:tblPrEx>
        <w:trPr>
          <w:cantSplit/>
          <w:trHeight w:val="1114"/>
        </w:trPr>
        <w:tc>
          <w:tcPr>
            <w:tcW w:w="1947" w:type="dxa"/>
            <w:vAlign w:val="center"/>
          </w:tcPr>
          <w:p w:rsidR="0073149F" w:rsidRPr="00807C81" w:rsidRDefault="0073149F" w:rsidP="00B14A0D">
            <w:pPr>
              <w:tabs>
                <w:tab w:val="left" w:pos="1800"/>
              </w:tabs>
              <w:rPr>
                <w:rFonts w:ascii="Arial" w:hAnsi="Arial"/>
                <w:sz w:val="18"/>
                <w:szCs w:val="18"/>
              </w:rPr>
            </w:pPr>
            <w:r w:rsidRPr="00807C81">
              <w:rPr>
                <w:rFonts w:ascii="Arial" w:hAnsi="Arial"/>
                <w:sz w:val="18"/>
                <w:szCs w:val="18"/>
              </w:rPr>
              <w:t>Recettes</w:t>
            </w:r>
          </w:p>
          <w:p w:rsidR="0073149F" w:rsidRPr="00807C81" w:rsidRDefault="0073149F" w:rsidP="00B14A0D">
            <w:pPr>
              <w:tabs>
                <w:tab w:val="left" w:pos="1800"/>
              </w:tabs>
              <w:rPr>
                <w:rFonts w:ascii="Arial" w:hAnsi="Arial"/>
                <w:sz w:val="18"/>
                <w:szCs w:val="18"/>
              </w:rPr>
            </w:pPr>
          </w:p>
          <w:p w:rsidR="0073149F" w:rsidRPr="00807C81" w:rsidRDefault="0073149F" w:rsidP="00B14A0D">
            <w:pPr>
              <w:tabs>
                <w:tab w:val="left" w:pos="1800"/>
              </w:tabs>
              <w:rPr>
                <w:rFonts w:ascii="Arial" w:hAnsi="Arial"/>
                <w:sz w:val="18"/>
                <w:szCs w:val="18"/>
              </w:rPr>
            </w:pPr>
            <w:r w:rsidRPr="00807C81">
              <w:rPr>
                <w:rFonts w:ascii="Arial" w:hAnsi="Arial"/>
                <w:sz w:val="18"/>
                <w:szCs w:val="18"/>
              </w:rPr>
              <w:t>- courantes</w:t>
            </w:r>
          </w:p>
          <w:p w:rsidR="0073149F" w:rsidRPr="00807C81" w:rsidRDefault="0073149F" w:rsidP="00B14A0D">
            <w:pPr>
              <w:tabs>
                <w:tab w:val="left" w:pos="1800"/>
              </w:tabs>
              <w:rPr>
                <w:rFonts w:ascii="Arial" w:hAnsi="Arial"/>
                <w:sz w:val="18"/>
                <w:szCs w:val="18"/>
              </w:rPr>
            </w:pPr>
          </w:p>
          <w:p w:rsidR="0073149F" w:rsidRPr="00807C81" w:rsidRDefault="0073149F" w:rsidP="00B14A0D">
            <w:pPr>
              <w:tabs>
                <w:tab w:val="left" w:pos="1800"/>
              </w:tabs>
              <w:rPr>
                <w:rFonts w:ascii="Arial" w:hAnsi="Arial"/>
                <w:sz w:val="18"/>
                <w:szCs w:val="18"/>
              </w:rPr>
            </w:pPr>
            <w:r w:rsidRPr="00807C81">
              <w:rPr>
                <w:rFonts w:ascii="Arial" w:hAnsi="Arial"/>
                <w:sz w:val="18"/>
                <w:szCs w:val="18"/>
              </w:rPr>
              <w:t>- en capital</w:t>
            </w:r>
          </w:p>
        </w:tc>
        <w:tc>
          <w:tcPr>
            <w:tcW w:w="2126" w:type="dxa"/>
            <w:gridSpan w:val="2"/>
            <w:vAlign w:val="center"/>
          </w:tcPr>
          <w:p w:rsidR="0073149F" w:rsidRPr="00046D63" w:rsidRDefault="0073149F" w:rsidP="00B14A0D">
            <w:pPr>
              <w:tabs>
                <w:tab w:val="left" w:pos="1800"/>
              </w:tabs>
              <w:rPr>
                <w:rFonts w:ascii="Arial" w:hAnsi="Arial"/>
                <w:sz w:val="18"/>
                <w:szCs w:val="18"/>
              </w:rPr>
            </w:pPr>
          </w:p>
          <w:p w:rsidR="0073149F" w:rsidRPr="00046D63" w:rsidRDefault="0073149F" w:rsidP="00B14A0D">
            <w:pPr>
              <w:tabs>
                <w:tab w:val="left" w:pos="1800"/>
              </w:tabs>
              <w:rPr>
                <w:rFonts w:ascii="Arial" w:hAnsi="Arial"/>
                <w:sz w:val="18"/>
                <w:szCs w:val="18"/>
              </w:rPr>
            </w:pPr>
          </w:p>
          <w:p w:rsidR="0073149F" w:rsidRPr="00046D63" w:rsidRDefault="00046D63" w:rsidP="00B14A0D">
            <w:pPr>
              <w:tabs>
                <w:tab w:val="left" w:pos="1800"/>
              </w:tabs>
              <w:rPr>
                <w:rFonts w:ascii="Arial" w:hAnsi="Arial"/>
                <w:sz w:val="18"/>
                <w:szCs w:val="18"/>
              </w:rPr>
            </w:pPr>
            <w:r w:rsidRPr="00046D63">
              <w:rPr>
                <w:rFonts w:ascii="Arial" w:hAnsi="Arial"/>
                <w:sz w:val="18"/>
                <w:szCs w:val="18"/>
              </w:rPr>
              <w:t>9</w:t>
            </w:r>
            <w:r w:rsidR="0073149F" w:rsidRPr="00046D63">
              <w:rPr>
                <w:rFonts w:ascii="Arial" w:hAnsi="Arial"/>
                <w:sz w:val="18"/>
                <w:szCs w:val="18"/>
              </w:rPr>
              <w:t>.</w:t>
            </w:r>
            <w:r w:rsidRPr="00046D63">
              <w:rPr>
                <w:rFonts w:ascii="Arial" w:hAnsi="Arial"/>
                <w:sz w:val="18"/>
                <w:szCs w:val="18"/>
              </w:rPr>
              <w:t>547</w:t>
            </w:r>
            <w:r w:rsidR="0073149F" w:rsidRPr="00046D63">
              <w:rPr>
                <w:rFonts w:ascii="Arial" w:hAnsi="Arial"/>
                <w:sz w:val="18"/>
                <w:szCs w:val="18"/>
              </w:rPr>
              <w:t>.</w:t>
            </w:r>
            <w:r w:rsidRPr="00046D63">
              <w:rPr>
                <w:rFonts w:ascii="Arial" w:hAnsi="Arial"/>
                <w:sz w:val="18"/>
                <w:szCs w:val="18"/>
              </w:rPr>
              <w:t>234</w:t>
            </w:r>
            <w:r w:rsidR="0073149F" w:rsidRPr="00046D63">
              <w:rPr>
                <w:rFonts w:ascii="Arial" w:hAnsi="Arial"/>
                <w:sz w:val="18"/>
                <w:szCs w:val="18"/>
              </w:rPr>
              <w:t>.</w:t>
            </w:r>
            <w:r w:rsidRPr="00046D63">
              <w:rPr>
                <w:rFonts w:ascii="Arial" w:hAnsi="Arial"/>
                <w:sz w:val="18"/>
                <w:szCs w:val="18"/>
              </w:rPr>
              <w:t>905</w:t>
            </w:r>
            <w:r w:rsidR="0073149F" w:rsidRPr="00046D63">
              <w:rPr>
                <w:rFonts w:ascii="Arial" w:hAnsi="Arial"/>
                <w:sz w:val="18"/>
                <w:szCs w:val="18"/>
              </w:rPr>
              <w:t>,00</w:t>
            </w:r>
          </w:p>
          <w:p w:rsidR="0073149F" w:rsidRPr="00046D63" w:rsidRDefault="0073149F" w:rsidP="00B14A0D">
            <w:pPr>
              <w:tabs>
                <w:tab w:val="left" w:pos="1800"/>
              </w:tabs>
              <w:rPr>
                <w:rFonts w:ascii="Arial" w:hAnsi="Arial"/>
                <w:sz w:val="18"/>
                <w:szCs w:val="18"/>
              </w:rPr>
            </w:pPr>
          </w:p>
          <w:p w:rsidR="0073149F" w:rsidRPr="00046D63" w:rsidRDefault="00046D63" w:rsidP="00B14A0D">
            <w:pPr>
              <w:tabs>
                <w:tab w:val="left" w:pos="1800"/>
              </w:tabs>
              <w:rPr>
                <w:rFonts w:ascii="Arial" w:hAnsi="Arial"/>
                <w:sz w:val="18"/>
                <w:szCs w:val="18"/>
              </w:rPr>
            </w:pPr>
            <w:r w:rsidRPr="00046D63">
              <w:rPr>
                <w:rFonts w:ascii="Arial" w:hAnsi="Arial"/>
                <w:sz w:val="18"/>
                <w:szCs w:val="18"/>
              </w:rPr>
              <w:t xml:space="preserve">     78</w:t>
            </w:r>
            <w:r w:rsidR="0073149F" w:rsidRPr="00046D63">
              <w:rPr>
                <w:rFonts w:ascii="Arial" w:hAnsi="Arial"/>
                <w:sz w:val="18"/>
                <w:szCs w:val="18"/>
              </w:rPr>
              <w:t>.</w:t>
            </w:r>
            <w:r w:rsidRPr="00046D63">
              <w:rPr>
                <w:rFonts w:ascii="Arial" w:hAnsi="Arial"/>
                <w:sz w:val="18"/>
                <w:szCs w:val="18"/>
              </w:rPr>
              <w:t>939</w:t>
            </w:r>
            <w:r w:rsidR="0073149F" w:rsidRPr="00046D63">
              <w:rPr>
                <w:rFonts w:ascii="Arial" w:hAnsi="Arial"/>
                <w:sz w:val="18"/>
                <w:szCs w:val="18"/>
              </w:rPr>
              <w:t>.</w:t>
            </w:r>
            <w:r w:rsidR="00C52990" w:rsidRPr="00046D63">
              <w:rPr>
                <w:rFonts w:ascii="Arial" w:hAnsi="Arial"/>
                <w:sz w:val="18"/>
                <w:szCs w:val="18"/>
              </w:rPr>
              <w:t>5</w:t>
            </w:r>
            <w:r w:rsidRPr="00046D63">
              <w:rPr>
                <w:rFonts w:ascii="Arial" w:hAnsi="Arial"/>
                <w:sz w:val="18"/>
                <w:szCs w:val="18"/>
              </w:rPr>
              <w:t>75</w:t>
            </w:r>
            <w:r w:rsidR="0073149F" w:rsidRPr="00046D63">
              <w:rPr>
                <w:rFonts w:ascii="Arial" w:hAnsi="Arial"/>
                <w:sz w:val="18"/>
                <w:szCs w:val="18"/>
              </w:rPr>
              <w:t>,00</w:t>
            </w:r>
          </w:p>
          <w:p w:rsidR="0073149F" w:rsidRPr="00046D63" w:rsidRDefault="0073149F" w:rsidP="00B14A0D">
            <w:pPr>
              <w:tabs>
                <w:tab w:val="left" w:pos="1800"/>
              </w:tabs>
              <w:rPr>
                <w:rFonts w:ascii="Arial" w:hAnsi="Arial"/>
                <w:sz w:val="18"/>
                <w:szCs w:val="18"/>
              </w:rPr>
            </w:pPr>
          </w:p>
        </w:tc>
        <w:tc>
          <w:tcPr>
            <w:tcW w:w="1843" w:type="dxa"/>
            <w:vAlign w:val="center"/>
          </w:tcPr>
          <w:p w:rsidR="0073149F" w:rsidRPr="00046D63" w:rsidRDefault="0073149F" w:rsidP="00B14A0D">
            <w:pPr>
              <w:tabs>
                <w:tab w:val="left" w:pos="1800"/>
              </w:tabs>
              <w:rPr>
                <w:rFonts w:ascii="Arial" w:hAnsi="Arial"/>
                <w:sz w:val="18"/>
                <w:szCs w:val="18"/>
              </w:rPr>
            </w:pPr>
          </w:p>
          <w:p w:rsidR="0073149F" w:rsidRPr="00046D63" w:rsidRDefault="00FA3EAC" w:rsidP="00B14A0D">
            <w:pPr>
              <w:tabs>
                <w:tab w:val="left" w:pos="1800"/>
              </w:tabs>
              <w:rPr>
                <w:rFonts w:ascii="Arial" w:hAnsi="Arial"/>
                <w:sz w:val="18"/>
                <w:szCs w:val="18"/>
              </w:rPr>
            </w:pPr>
            <w:r w:rsidRPr="00046D63">
              <w:rPr>
                <w:rFonts w:ascii="Arial" w:hAnsi="Arial"/>
                <w:sz w:val="18"/>
                <w:szCs w:val="18"/>
              </w:rPr>
              <w:t xml:space="preserve"> </w:t>
            </w:r>
            <w:r w:rsidR="00046D63" w:rsidRPr="00046D63">
              <w:rPr>
                <w:rFonts w:ascii="Arial" w:hAnsi="Arial"/>
                <w:sz w:val="18"/>
                <w:szCs w:val="18"/>
              </w:rPr>
              <w:t>10</w:t>
            </w:r>
            <w:r w:rsidR="0073149F" w:rsidRPr="00046D63">
              <w:rPr>
                <w:rFonts w:ascii="Arial" w:hAnsi="Arial"/>
                <w:sz w:val="18"/>
                <w:szCs w:val="18"/>
              </w:rPr>
              <w:t>.</w:t>
            </w:r>
            <w:r w:rsidR="00046D63" w:rsidRPr="00046D63">
              <w:rPr>
                <w:rFonts w:ascii="Arial" w:hAnsi="Arial"/>
                <w:sz w:val="18"/>
                <w:szCs w:val="18"/>
              </w:rPr>
              <w:t>266</w:t>
            </w:r>
            <w:r w:rsidR="0073149F" w:rsidRPr="00046D63">
              <w:rPr>
                <w:rFonts w:ascii="Arial" w:hAnsi="Arial"/>
                <w:sz w:val="18"/>
                <w:szCs w:val="18"/>
              </w:rPr>
              <w:t>.</w:t>
            </w:r>
            <w:r w:rsidR="00046D63" w:rsidRPr="00046D63">
              <w:rPr>
                <w:rFonts w:ascii="Arial" w:hAnsi="Arial"/>
                <w:sz w:val="18"/>
                <w:szCs w:val="18"/>
              </w:rPr>
              <w:t>397</w:t>
            </w:r>
            <w:r w:rsidR="0073149F" w:rsidRPr="00046D63">
              <w:rPr>
                <w:rFonts w:ascii="Arial" w:hAnsi="Arial"/>
                <w:sz w:val="18"/>
                <w:szCs w:val="18"/>
              </w:rPr>
              <w:t>.</w:t>
            </w:r>
            <w:r w:rsidR="00046D63" w:rsidRPr="00046D63">
              <w:rPr>
                <w:rFonts w:ascii="Arial" w:hAnsi="Arial"/>
                <w:sz w:val="18"/>
                <w:szCs w:val="18"/>
              </w:rPr>
              <w:t>817</w:t>
            </w:r>
            <w:r w:rsidR="0073149F" w:rsidRPr="00046D63">
              <w:rPr>
                <w:rFonts w:ascii="Arial" w:hAnsi="Arial"/>
                <w:sz w:val="18"/>
                <w:szCs w:val="18"/>
              </w:rPr>
              <w:t>,</w:t>
            </w:r>
            <w:r w:rsidR="00046D63" w:rsidRPr="00046D63">
              <w:rPr>
                <w:rFonts w:ascii="Arial" w:hAnsi="Arial"/>
                <w:sz w:val="18"/>
                <w:szCs w:val="18"/>
              </w:rPr>
              <w:t>35</w:t>
            </w:r>
            <w:r w:rsidR="0073149F" w:rsidRPr="00046D63">
              <w:rPr>
                <w:rFonts w:ascii="Arial" w:hAnsi="Arial"/>
                <w:sz w:val="18"/>
                <w:szCs w:val="18"/>
              </w:rPr>
              <w:t xml:space="preserve">      </w:t>
            </w:r>
          </w:p>
          <w:p w:rsidR="0073149F" w:rsidRPr="00046D63" w:rsidRDefault="0073149F" w:rsidP="00B14A0D">
            <w:pPr>
              <w:tabs>
                <w:tab w:val="left" w:pos="1800"/>
              </w:tabs>
              <w:rPr>
                <w:rFonts w:ascii="Arial" w:hAnsi="Arial"/>
                <w:sz w:val="18"/>
                <w:szCs w:val="18"/>
              </w:rPr>
            </w:pPr>
          </w:p>
          <w:p w:rsidR="0073149F" w:rsidRPr="00046D63" w:rsidRDefault="00C52990" w:rsidP="00046D63">
            <w:pPr>
              <w:tabs>
                <w:tab w:val="left" w:pos="1800"/>
              </w:tabs>
              <w:rPr>
                <w:rFonts w:ascii="Arial" w:hAnsi="Arial"/>
                <w:sz w:val="18"/>
                <w:szCs w:val="18"/>
              </w:rPr>
            </w:pPr>
            <w:r w:rsidRPr="00046D63">
              <w:rPr>
                <w:rFonts w:ascii="Arial" w:hAnsi="Arial"/>
                <w:sz w:val="18"/>
                <w:szCs w:val="18"/>
              </w:rPr>
              <w:t xml:space="preserve"> </w:t>
            </w:r>
            <w:r w:rsidR="00046D63" w:rsidRPr="00046D63">
              <w:rPr>
                <w:rFonts w:ascii="Arial" w:hAnsi="Arial"/>
                <w:sz w:val="18"/>
                <w:szCs w:val="18"/>
              </w:rPr>
              <w:t xml:space="preserve">     100</w:t>
            </w:r>
            <w:r w:rsidR="0073149F" w:rsidRPr="00046D63">
              <w:rPr>
                <w:rFonts w:ascii="Arial" w:hAnsi="Arial"/>
                <w:sz w:val="18"/>
                <w:szCs w:val="18"/>
              </w:rPr>
              <w:t>.</w:t>
            </w:r>
            <w:r w:rsidR="00046D63" w:rsidRPr="00046D63">
              <w:rPr>
                <w:rFonts w:ascii="Arial" w:hAnsi="Arial"/>
                <w:sz w:val="18"/>
                <w:szCs w:val="18"/>
              </w:rPr>
              <w:t>948</w:t>
            </w:r>
            <w:r w:rsidR="0073149F" w:rsidRPr="00046D63">
              <w:rPr>
                <w:rFonts w:ascii="Arial" w:hAnsi="Arial"/>
                <w:sz w:val="18"/>
                <w:szCs w:val="18"/>
              </w:rPr>
              <w:t>.</w:t>
            </w:r>
            <w:r w:rsidR="00046D63" w:rsidRPr="00046D63">
              <w:rPr>
                <w:rFonts w:ascii="Arial" w:hAnsi="Arial"/>
                <w:sz w:val="18"/>
                <w:szCs w:val="18"/>
              </w:rPr>
              <w:t>143</w:t>
            </w:r>
            <w:r w:rsidR="0073149F" w:rsidRPr="00046D63">
              <w:rPr>
                <w:rFonts w:ascii="Arial" w:hAnsi="Arial"/>
                <w:sz w:val="18"/>
                <w:szCs w:val="18"/>
              </w:rPr>
              <w:t>,</w:t>
            </w:r>
            <w:r w:rsidRPr="00046D63">
              <w:rPr>
                <w:rFonts w:ascii="Arial" w:hAnsi="Arial"/>
                <w:sz w:val="18"/>
                <w:szCs w:val="18"/>
              </w:rPr>
              <w:t>2</w:t>
            </w:r>
            <w:r w:rsidR="00046D63" w:rsidRPr="00046D63">
              <w:rPr>
                <w:rFonts w:ascii="Arial" w:hAnsi="Arial"/>
                <w:sz w:val="18"/>
                <w:szCs w:val="18"/>
              </w:rPr>
              <w:t>5</w:t>
            </w:r>
          </w:p>
        </w:tc>
        <w:tc>
          <w:tcPr>
            <w:tcW w:w="1842" w:type="dxa"/>
            <w:tcBorders>
              <w:bottom w:val="single" w:sz="4" w:space="0" w:color="auto"/>
            </w:tcBorders>
            <w:vAlign w:val="center"/>
          </w:tcPr>
          <w:p w:rsidR="0073149F" w:rsidRPr="00046D63" w:rsidRDefault="0073149F" w:rsidP="00B14A0D">
            <w:pPr>
              <w:tabs>
                <w:tab w:val="left" w:pos="1800"/>
              </w:tabs>
              <w:rPr>
                <w:rFonts w:ascii="Arial" w:hAnsi="Arial"/>
                <w:sz w:val="18"/>
                <w:szCs w:val="18"/>
              </w:rPr>
            </w:pPr>
          </w:p>
          <w:p w:rsidR="0073149F" w:rsidRPr="00046D63" w:rsidRDefault="0073149F" w:rsidP="00B14A0D">
            <w:pPr>
              <w:tabs>
                <w:tab w:val="left" w:pos="1800"/>
              </w:tabs>
              <w:rPr>
                <w:rFonts w:ascii="Arial" w:hAnsi="Arial"/>
                <w:sz w:val="18"/>
                <w:szCs w:val="18"/>
              </w:rPr>
            </w:pPr>
          </w:p>
          <w:p w:rsidR="0073149F" w:rsidRPr="00046D63" w:rsidRDefault="008948BA" w:rsidP="00B14A0D">
            <w:pPr>
              <w:tabs>
                <w:tab w:val="left" w:pos="1800"/>
              </w:tabs>
              <w:rPr>
                <w:rFonts w:ascii="Arial" w:hAnsi="Arial"/>
                <w:sz w:val="18"/>
                <w:szCs w:val="18"/>
              </w:rPr>
            </w:pPr>
            <w:r w:rsidRPr="00046D63">
              <w:rPr>
                <w:rFonts w:ascii="Arial" w:hAnsi="Arial"/>
                <w:sz w:val="18"/>
                <w:szCs w:val="18"/>
              </w:rPr>
              <w:t xml:space="preserve">   </w:t>
            </w:r>
            <w:r w:rsidR="00046D63" w:rsidRPr="00046D63">
              <w:rPr>
                <w:rFonts w:ascii="Arial" w:hAnsi="Arial"/>
                <w:sz w:val="18"/>
                <w:szCs w:val="18"/>
              </w:rPr>
              <w:t>719</w:t>
            </w:r>
            <w:r w:rsidR="0073149F" w:rsidRPr="00046D63">
              <w:rPr>
                <w:rFonts w:ascii="Arial" w:hAnsi="Arial"/>
                <w:sz w:val="18"/>
                <w:szCs w:val="18"/>
              </w:rPr>
              <w:t>.</w:t>
            </w:r>
            <w:r w:rsidR="00046D63" w:rsidRPr="00046D63">
              <w:rPr>
                <w:rFonts w:ascii="Arial" w:hAnsi="Arial"/>
                <w:sz w:val="18"/>
                <w:szCs w:val="18"/>
              </w:rPr>
              <w:t>162</w:t>
            </w:r>
            <w:r w:rsidR="0073149F" w:rsidRPr="00046D63">
              <w:rPr>
                <w:rFonts w:ascii="Arial" w:hAnsi="Arial"/>
                <w:sz w:val="18"/>
                <w:szCs w:val="18"/>
              </w:rPr>
              <w:t>.</w:t>
            </w:r>
            <w:r w:rsidR="00046D63" w:rsidRPr="00046D63">
              <w:rPr>
                <w:rFonts w:ascii="Arial" w:hAnsi="Arial"/>
                <w:sz w:val="18"/>
                <w:szCs w:val="18"/>
              </w:rPr>
              <w:t>912</w:t>
            </w:r>
            <w:r w:rsidR="0073149F" w:rsidRPr="00046D63">
              <w:rPr>
                <w:rFonts w:ascii="Arial" w:hAnsi="Arial"/>
                <w:sz w:val="18"/>
                <w:szCs w:val="18"/>
              </w:rPr>
              <w:t>,</w:t>
            </w:r>
            <w:r w:rsidR="00046D63" w:rsidRPr="00046D63">
              <w:rPr>
                <w:rFonts w:ascii="Arial" w:hAnsi="Arial"/>
                <w:sz w:val="18"/>
                <w:szCs w:val="18"/>
              </w:rPr>
              <w:t>35</w:t>
            </w:r>
          </w:p>
          <w:p w:rsidR="0073149F" w:rsidRPr="00046D63" w:rsidRDefault="0073149F" w:rsidP="00B14A0D">
            <w:pPr>
              <w:tabs>
                <w:tab w:val="left" w:pos="1800"/>
              </w:tabs>
              <w:rPr>
                <w:rFonts w:ascii="Arial" w:hAnsi="Arial"/>
                <w:sz w:val="18"/>
                <w:szCs w:val="18"/>
              </w:rPr>
            </w:pPr>
          </w:p>
          <w:p w:rsidR="0073149F" w:rsidRPr="00046D63" w:rsidRDefault="001B170A" w:rsidP="00B14A0D">
            <w:pPr>
              <w:tabs>
                <w:tab w:val="left" w:pos="1800"/>
              </w:tabs>
              <w:rPr>
                <w:rFonts w:ascii="Arial" w:hAnsi="Arial"/>
                <w:sz w:val="18"/>
                <w:szCs w:val="18"/>
              </w:rPr>
            </w:pPr>
            <w:r w:rsidRPr="00046D63">
              <w:rPr>
                <w:rFonts w:ascii="Arial" w:hAnsi="Arial"/>
                <w:sz w:val="18"/>
                <w:szCs w:val="18"/>
              </w:rPr>
              <w:t xml:space="preserve">   </w:t>
            </w:r>
            <w:r w:rsidR="00046D63" w:rsidRPr="00046D63">
              <w:rPr>
                <w:rFonts w:ascii="Arial" w:hAnsi="Arial"/>
                <w:sz w:val="18"/>
                <w:szCs w:val="18"/>
              </w:rPr>
              <w:t xml:space="preserve">   </w:t>
            </w:r>
            <w:r w:rsidR="008948BA" w:rsidRPr="00046D63">
              <w:rPr>
                <w:rFonts w:ascii="Arial" w:hAnsi="Arial"/>
                <w:sz w:val="18"/>
                <w:szCs w:val="18"/>
              </w:rPr>
              <w:t>2</w:t>
            </w:r>
            <w:r w:rsidR="00046D63" w:rsidRPr="00046D63">
              <w:rPr>
                <w:rFonts w:ascii="Arial" w:hAnsi="Arial"/>
                <w:sz w:val="18"/>
                <w:szCs w:val="18"/>
              </w:rPr>
              <w:t>2</w:t>
            </w:r>
            <w:r w:rsidR="0073149F" w:rsidRPr="00046D63">
              <w:rPr>
                <w:rFonts w:ascii="Arial" w:hAnsi="Arial"/>
                <w:sz w:val="18"/>
                <w:szCs w:val="18"/>
              </w:rPr>
              <w:t>.</w:t>
            </w:r>
            <w:r w:rsidR="00046D63" w:rsidRPr="00046D63">
              <w:rPr>
                <w:rFonts w:ascii="Arial" w:hAnsi="Arial"/>
                <w:sz w:val="18"/>
                <w:szCs w:val="18"/>
              </w:rPr>
              <w:t>008</w:t>
            </w:r>
            <w:r w:rsidR="0073149F" w:rsidRPr="00046D63">
              <w:rPr>
                <w:rFonts w:ascii="Arial" w:hAnsi="Arial"/>
                <w:sz w:val="18"/>
                <w:szCs w:val="18"/>
              </w:rPr>
              <w:t>.</w:t>
            </w:r>
            <w:r w:rsidR="00046D63" w:rsidRPr="00046D63">
              <w:rPr>
                <w:rFonts w:ascii="Arial" w:hAnsi="Arial"/>
                <w:sz w:val="18"/>
                <w:szCs w:val="18"/>
              </w:rPr>
              <w:t>568</w:t>
            </w:r>
            <w:r w:rsidR="0073149F" w:rsidRPr="00046D63">
              <w:rPr>
                <w:rFonts w:ascii="Arial" w:hAnsi="Arial"/>
                <w:sz w:val="18"/>
                <w:szCs w:val="18"/>
              </w:rPr>
              <w:t>,</w:t>
            </w:r>
            <w:r w:rsidR="00AF3226" w:rsidRPr="00046D63">
              <w:rPr>
                <w:rFonts w:ascii="Arial" w:hAnsi="Arial"/>
                <w:sz w:val="18"/>
                <w:szCs w:val="18"/>
              </w:rPr>
              <w:t>2</w:t>
            </w:r>
            <w:r w:rsidR="00046D63" w:rsidRPr="00046D63">
              <w:rPr>
                <w:rFonts w:ascii="Arial" w:hAnsi="Arial"/>
                <w:sz w:val="18"/>
                <w:szCs w:val="18"/>
              </w:rPr>
              <w:t>5</w:t>
            </w:r>
          </w:p>
          <w:p w:rsidR="0073149F" w:rsidRPr="00046D63" w:rsidRDefault="0073149F" w:rsidP="00B14A0D">
            <w:pPr>
              <w:tabs>
                <w:tab w:val="left" w:pos="1800"/>
              </w:tabs>
              <w:rPr>
                <w:rFonts w:ascii="Arial" w:hAnsi="Arial"/>
                <w:sz w:val="18"/>
                <w:szCs w:val="18"/>
              </w:rPr>
            </w:pPr>
          </w:p>
        </w:tc>
        <w:tc>
          <w:tcPr>
            <w:tcW w:w="1134" w:type="dxa"/>
            <w:tcBorders>
              <w:bottom w:val="single" w:sz="4" w:space="0" w:color="auto"/>
            </w:tcBorders>
            <w:vAlign w:val="center"/>
          </w:tcPr>
          <w:p w:rsidR="0073149F" w:rsidRPr="00046D63" w:rsidRDefault="0073149F" w:rsidP="00B14A0D">
            <w:pPr>
              <w:tabs>
                <w:tab w:val="left" w:pos="1800"/>
              </w:tabs>
              <w:rPr>
                <w:rFonts w:ascii="Arial" w:hAnsi="Arial"/>
                <w:sz w:val="18"/>
                <w:szCs w:val="18"/>
              </w:rPr>
            </w:pPr>
          </w:p>
          <w:p w:rsidR="0073149F" w:rsidRPr="00046D63" w:rsidRDefault="00046D63" w:rsidP="00B14A0D">
            <w:pPr>
              <w:tabs>
                <w:tab w:val="left" w:pos="1800"/>
              </w:tabs>
              <w:jc w:val="center"/>
              <w:rPr>
                <w:rFonts w:ascii="Arial" w:hAnsi="Arial"/>
                <w:sz w:val="18"/>
                <w:szCs w:val="18"/>
              </w:rPr>
            </w:pPr>
            <w:r w:rsidRPr="00046D63">
              <w:rPr>
                <w:rFonts w:ascii="Arial" w:hAnsi="Arial"/>
                <w:sz w:val="18"/>
                <w:szCs w:val="18"/>
              </w:rPr>
              <w:t>7</w:t>
            </w:r>
            <w:r w:rsidR="0073149F" w:rsidRPr="00046D63">
              <w:rPr>
                <w:rFonts w:ascii="Arial" w:hAnsi="Arial"/>
                <w:sz w:val="18"/>
                <w:szCs w:val="18"/>
              </w:rPr>
              <w:t>,</w:t>
            </w:r>
            <w:r w:rsidRPr="00046D63">
              <w:rPr>
                <w:rFonts w:ascii="Arial" w:hAnsi="Arial"/>
                <w:sz w:val="18"/>
                <w:szCs w:val="18"/>
              </w:rPr>
              <w:t>53</w:t>
            </w:r>
          </w:p>
          <w:p w:rsidR="0073149F" w:rsidRPr="00046D63" w:rsidRDefault="0073149F" w:rsidP="00B14A0D">
            <w:pPr>
              <w:tabs>
                <w:tab w:val="left" w:pos="1800"/>
              </w:tabs>
              <w:rPr>
                <w:rFonts w:ascii="Arial" w:hAnsi="Arial"/>
                <w:sz w:val="18"/>
                <w:szCs w:val="18"/>
              </w:rPr>
            </w:pPr>
          </w:p>
          <w:p w:rsidR="0073149F" w:rsidRPr="00046D63" w:rsidRDefault="00046D63" w:rsidP="00046D63">
            <w:pPr>
              <w:tabs>
                <w:tab w:val="left" w:pos="1800"/>
              </w:tabs>
              <w:jc w:val="center"/>
              <w:rPr>
                <w:rFonts w:ascii="Arial" w:hAnsi="Arial"/>
                <w:sz w:val="18"/>
                <w:szCs w:val="18"/>
              </w:rPr>
            </w:pPr>
            <w:r w:rsidRPr="00046D63">
              <w:rPr>
                <w:rFonts w:ascii="Arial" w:hAnsi="Arial"/>
                <w:sz w:val="18"/>
                <w:szCs w:val="18"/>
              </w:rPr>
              <w:t>2</w:t>
            </w:r>
            <w:r w:rsidR="001B170A" w:rsidRPr="00046D63">
              <w:rPr>
                <w:rFonts w:ascii="Arial" w:hAnsi="Arial"/>
                <w:sz w:val="18"/>
                <w:szCs w:val="18"/>
              </w:rPr>
              <w:t>7</w:t>
            </w:r>
            <w:r w:rsidR="0073149F" w:rsidRPr="00046D63">
              <w:rPr>
                <w:rFonts w:ascii="Arial" w:hAnsi="Arial"/>
                <w:sz w:val="18"/>
                <w:szCs w:val="18"/>
              </w:rPr>
              <w:t>,</w:t>
            </w:r>
            <w:r w:rsidRPr="00046D63">
              <w:rPr>
                <w:rFonts w:ascii="Arial" w:hAnsi="Arial"/>
                <w:sz w:val="18"/>
                <w:szCs w:val="18"/>
              </w:rPr>
              <w:t>88</w:t>
            </w:r>
          </w:p>
        </w:tc>
      </w:tr>
      <w:tr w:rsidR="0073149F" w:rsidRPr="00B26466" w:rsidTr="00D17DDD">
        <w:tblPrEx>
          <w:tblCellMar>
            <w:top w:w="0" w:type="dxa"/>
            <w:bottom w:w="0" w:type="dxa"/>
          </w:tblCellMar>
        </w:tblPrEx>
        <w:trPr>
          <w:cantSplit/>
          <w:trHeight w:val="434"/>
        </w:trPr>
        <w:tc>
          <w:tcPr>
            <w:tcW w:w="1947" w:type="dxa"/>
            <w:vAlign w:val="center"/>
          </w:tcPr>
          <w:p w:rsidR="0073149F" w:rsidRPr="00807C81" w:rsidRDefault="0073149F" w:rsidP="00B14A0D">
            <w:pPr>
              <w:tabs>
                <w:tab w:val="left" w:pos="1800"/>
              </w:tabs>
              <w:rPr>
                <w:rFonts w:ascii="Arial" w:hAnsi="Arial"/>
                <w:sz w:val="18"/>
                <w:szCs w:val="18"/>
              </w:rPr>
            </w:pPr>
            <w:r w:rsidRPr="00807C81">
              <w:rPr>
                <w:rFonts w:ascii="Arial" w:hAnsi="Arial"/>
                <w:sz w:val="18"/>
                <w:szCs w:val="18"/>
              </w:rPr>
              <w:t>Total recettes (1)</w:t>
            </w:r>
          </w:p>
        </w:tc>
        <w:tc>
          <w:tcPr>
            <w:tcW w:w="2126" w:type="dxa"/>
            <w:gridSpan w:val="2"/>
            <w:vAlign w:val="center"/>
          </w:tcPr>
          <w:p w:rsidR="0073149F" w:rsidRPr="0056644C" w:rsidRDefault="0073149F" w:rsidP="00B14A0D">
            <w:pPr>
              <w:tabs>
                <w:tab w:val="left" w:pos="1800"/>
              </w:tabs>
              <w:rPr>
                <w:rFonts w:ascii="Arial" w:hAnsi="Arial"/>
                <w:sz w:val="18"/>
                <w:szCs w:val="18"/>
              </w:rPr>
            </w:pPr>
          </w:p>
          <w:p w:rsidR="0073149F" w:rsidRPr="0056644C" w:rsidRDefault="0008744E" w:rsidP="00B14A0D">
            <w:pPr>
              <w:tabs>
                <w:tab w:val="left" w:pos="1800"/>
              </w:tabs>
              <w:rPr>
                <w:rFonts w:ascii="Arial" w:hAnsi="Arial"/>
                <w:sz w:val="18"/>
                <w:szCs w:val="18"/>
              </w:rPr>
            </w:pPr>
            <w:r w:rsidRPr="0056644C">
              <w:rPr>
                <w:rFonts w:ascii="Arial" w:hAnsi="Arial"/>
                <w:sz w:val="18"/>
                <w:szCs w:val="18"/>
              </w:rPr>
              <w:t>9</w:t>
            </w:r>
            <w:r w:rsidR="0073149F" w:rsidRPr="0056644C">
              <w:rPr>
                <w:rFonts w:ascii="Arial" w:hAnsi="Arial"/>
                <w:sz w:val="18"/>
                <w:szCs w:val="18"/>
              </w:rPr>
              <w:t>.</w:t>
            </w:r>
            <w:r w:rsidR="0056644C" w:rsidRPr="0056644C">
              <w:rPr>
                <w:rFonts w:ascii="Arial" w:hAnsi="Arial"/>
                <w:sz w:val="18"/>
                <w:szCs w:val="18"/>
              </w:rPr>
              <w:t>626</w:t>
            </w:r>
            <w:r w:rsidR="0073149F" w:rsidRPr="0056644C">
              <w:rPr>
                <w:rFonts w:ascii="Arial" w:hAnsi="Arial"/>
                <w:sz w:val="18"/>
                <w:szCs w:val="18"/>
              </w:rPr>
              <w:t>.</w:t>
            </w:r>
            <w:r w:rsidR="0056644C" w:rsidRPr="0056644C">
              <w:rPr>
                <w:rFonts w:ascii="Arial" w:hAnsi="Arial"/>
                <w:sz w:val="18"/>
                <w:szCs w:val="18"/>
              </w:rPr>
              <w:t>174</w:t>
            </w:r>
            <w:r w:rsidR="0073149F" w:rsidRPr="0056644C">
              <w:rPr>
                <w:rFonts w:ascii="Arial" w:hAnsi="Arial"/>
                <w:sz w:val="18"/>
                <w:szCs w:val="18"/>
              </w:rPr>
              <w:t>.</w:t>
            </w:r>
            <w:r w:rsidR="0056644C" w:rsidRPr="0056644C">
              <w:rPr>
                <w:rFonts w:ascii="Arial" w:hAnsi="Arial"/>
                <w:sz w:val="18"/>
                <w:szCs w:val="18"/>
              </w:rPr>
              <w:t>480</w:t>
            </w:r>
            <w:r w:rsidR="0073149F" w:rsidRPr="0056644C">
              <w:rPr>
                <w:rFonts w:ascii="Arial" w:hAnsi="Arial"/>
                <w:sz w:val="18"/>
                <w:szCs w:val="18"/>
              </w:rPr>
              <w:t xml:space="preserve">,00   </w:t>
            </w:r>
          </w:p>
          <w:p w:rsidR="0073149F" w:rsidRPr="0056644C" w:rsidRDefault="0073149F" w:rsidP="00B14A0D">
            <w:pPr>
              <w:tabs>
                <w:tab w:val="left" w:pos="1800"/>
              </w:tabs>
              <w:rPr>
                <w:rFonts w:ascii="Arial" w:hAnsi="Arial"/>
                <w:sz w:val="18"/>
                <w:szCs w:val="18"/>
              </w:rPr>
            </w:pPr>
          </w:p>
        </w:tc>
        <w:tc>
          <w:tcPr>
            <w:tcW w:w="1843" w:type="dxa"/>
            <w:vAlign w:val="center"/>
          </w:tcPr>
          <w:p w:rsidR="0073149F" w:rsidRPr="0056644C" w:rsidRDefault="0056644C" w:rsidP="0056644C">
            <w:pPr>
              <w:tabs>
                <w:tab w:val="left" w:pos="1800"/>
              </w:tabs>
              <w:rPr>
                <w:rFonts w:ascii="Arial" w:hAnsi="Arial"/>
                <w:sz w:val="18"/>
                <w:szCs w:val="18"/>
              </w:rPr>
            </w:pPr>
            <w:r w:rsidRPr="0056644C">
              <w:rPr>
                <w:rFonts w:ascii="Arial" w:hAnsi="Arial"/>
                <w:sz w:val="18"/>
                <w:szCs w:val="18"/>
              </w:rPr>
              <w:t>10</w:t>
            </w:r>
            <w:r w:rsidR="0073149F" w:rsidRPr="0056644C">
              <w:rPr>
                <w:rFonts w:ascii="Arial" w:hAnsi="Arial"/>
                <w:sz w:val="18"/>
                <w:szCs w:val="18"/>
              </w:rPr>
              <w:t>.</w:t>
            </w:r>
            <w:r w:rsidRPr="0056644C">
              <w:rPr>
                <w:rFonts w:ascii="Arial" w:hAnsi="Arial"/>
                <w:sz w:val="18"/>
                <w:szCs w:val="18"/>
              </w:rPr>
              <w:t>367</w:t>
            </w:r>
            <w:r w:rsidR="0073149F" w:rsidRPr="0056644C">
              <w:rPr>
                <w:rFonts w:ascii="Arial" w:hAnsi="Arial"/>
                <w:sz w:val="18"/>
                <w:szCs w:val="18"/>
              </w:rPr>
              <w:t>.</w:t>
            </w:r>
            <w:r w:rsidRPr="0056644C">
              <w:rPr>
                <w:rFonts w:ascii="Arial" w:hAnsi="Arial"/>
                <w:sz w:val="18"/>
                <w:szCs w:val="18"/>
              </w:rPr>
              <w:t>345</w:t>
            </w:r>
            <w:r w:rsidR="0073149F" w:rsidRPr="0056644C">
              <w:rPr>
                <w:rFonts w:ascii="Arial" w:hAnsi="Arial"/>
                <w:sz w:val="18"/>
                <w:szCs w:val="18"/>
              </w:rPr>
              <w:t>.</w:t>
            </w:r>
            <w:r w:rsidRPr="0056644C">
              <w:rPr>
                <w:rFonts w:ascii="Arial" w:hAnsi="Arial"/>
                <w:sz w:val="18"/>
                <w:szCs w:val="18"/>
              </w:rPr>
              <w:t>960</w:t>
            </w:r>
            <w:r w:rsidR="0073149F" w:rsidRPr="0056644C">
              <w:rPr>
                <w:rFonts w:ascii="Arial" w:hAnsi="Arial"/>
                <w:sz w:val="18"/>
                <w:szCs w:val="18"/>
              </w:rPr>
              <w:t>,</w:t>
            </w:r>
            <w:r w:rsidRPr="0056644C">
              <w:rPr>
                <w:rFonts w:ascii="Arial" w:hAnsi="Arial"/>
                <w:sz w:val="18"/>
                <w:szCs w:val="18"/>
              </w:rPr>
              <w:t>60</w:t>
            </w:r>
            <w:r w:rsidR="0073149F" w:rsidRPr="0056644C">
              <w:rPr>
                <w:rFonts w:ascii="Arial" w:hAnsi="Arial"/>
                <w:sz w:val="18"/>
                <w:szCs w:val="18"/>
              </w:rPr>
              <w:t xml:space="preserve">   </w:t>
            </w:r>
          </w:p>
        </w:tc>
        <w:tc>
          <w:tcPr>
            <w:tcW w:w="1842" w:type="dxa"/>
            <w:tcBorders>
              <w:bottom w:val="single" w:sz="4" w:space="0" w:color="auto"/>
            </w:tcBorders>
            <w:vAlign w:val="center"/>
          </w:tcPr>
          <w:p w:rsidR="0073149F" w:rsidRPr="0056644C" w:rsidRDefault="008948BA" w:rsidP="0056644C">
            <w:pPr>
              <w:tabs>
                <w:tab w:val="left" w:pos="1800"/>
              </w:tabs>
              <w:rPr>
                <w:rFonts w:ascii="Arial" w:hAnsi="Arial"/>
                <w:sz w:val="18"/>
                <w:szCs w:val="18"/>
              </w:rPr>
            </w:pPr>
            <w:r w:rsidRPr="0056644C">
              <w:rPr>
                <w:rFonts w:ascii="Arial" w:hAnsi="Arial"/>
                <w:sz w:val="18"/>
                <w:szCs w:val="18"/>
              </w:rPr>
              <w:t xml:space="preserve"> </w:t>
            </w:r>
            <w:r w:rsidR="00FA3EAC" w:rsidRPr="0056644C">
              <w:rPr>
                <w:rFonts w:ascii="Arial" w:hAnsi="Arial"/>
                <w:sz w:val="18"/>
                <w:szCs w:val="18"/>
              </w:rPr>
              <w:t xml:space="preserve">  </w:t>
            </w:r>
            <w:r w:rsidR="0056644C" w:rsidRPr="0056644C">
              <w:rPr>
                <w:rFonts w:ascii="Arial" w:hAnsi="Arial"/>
                <w:sz w:val="18"/>
                <w:szCs w:val="18"/>
              </w:rPr>
              <w:t>741</w:t>
            </w:r>
            <w:r w:rsidR="001B170A" w:rsidRPr="0056644C">
              <w:rPr>
                <w:rFonts w:ascii="Arial" w:hAnsi="Arial"/>
                <w:sz w:val="18"/>
                <w:szCs w:val="18"/>
              </w:rPr>
              <w:t>.</w:t>
            </w:r>
            <w:r w:rsidR="0056644C" w:rsidRPr="0056644C">
              <w:rPr>
                <w:rFonts w:ascii="Arial" w:hAnsi="Arial"/>
                <w:sz w:val="18"/>
                <w:szCs w:val="18"/>
              </w:rPr>
              <w:t>171</w:t>
            </w:r>
            <w:r w:rsidR="0073149F" w:rsidRPr="0056644C">
              <w:rPr>
                <w:rFonts w:ascii="Arial" w:hAnsi="Arial"/>
                <w:sz w:val="18"/>
                <w:szCs w:val="18"/>
              </w:rPr>
              <w:t>.</w:t>
            </w:r>
            <w:r w:rsidR="0056644C" w:rsidRPr="0056644C">
              <w:rPr>
                <w:rFonts w:ascii="Arial" w:hAnsi="Arial"/>
                <w:sz w:val="18"/>
                <w:szCs w:val="18"/>
              </w:rPr>
              <w:t>480</w:t>
            </w:r>
            <w:r w:rsidR="0073149F" w:rsidRPr="0056644C">
              <w:rPr>
                <w:rFonts w:ascii="Arial" w:hAnsi="Arial"/>
                <w:sz w:val="18"/>
                <w:szCs w:val="18"/>
              </w:rPr>
              <w:t>,</w:t>
            </w:r>
            <w:r w:rsidR="0056644C" w:rsidRPr="0056644C">
              <w:rPr>
                <w:rFonts w:ascii="Arial" w:hAnsi="Arial"/>
                <w:sz w:val="18"/>
                <w:szCs w:val="18"/>
              </w:rPr>
              <w:t>60</w:t>
            </w:r>
          </w:p>
        </w:tc>
        <w:tc>
          <w:tcPr>
            <w:tcW w:w="1134" w:type="dxa"/>
            <w:tcBorders>
              <w:bottom w:val="single" w:sz="4" w:space="0" w:color="auto"/>
            </w:tcBorders>
            <w:vAlign w:val="center"/>
          </w:tcPr>
          <w:p w:rsidR="0073149F" w:rsidRPr="0056644C" w:rsidRDefault="0056644C" w:rsidP="0056644C">
            <w:pPr>
              <w:tabs>
                <w:tab w:val="left" w:pos="1800"/>
              </w:tabs>
              <w:jc w:val="center"/>
              <w:rPr>
                <w:rFonts w:ascii="Arial" w:hAnsi="Arial"/>
                <w:sz w:val="18"/>
                <w:szCs w:val="18"/>
              </w:rPr>
            </w:pPr>
            <w:r w:rsidRPr="0056644C">
              <w:rPr>
                <w:rFonts w:ascii="Arial" w:hAnsi="Arial"/>
                <w:sz w:val="18"/>
                <w:szCs w:val="18"/>
              </w:rPr>
              <w:t>7</w:t>
            </w:r>
            <w:r w:rsidR="0073149F" w:rsidRPr="0056644C">
              <w:rPr>
                <w:rFonts w:ascii="Arial" w:hAnsi="Arial"/>
                <w:sz w:val="18"/>
                <w:szCs w:val="18"/>
              </w:rPr>
              <w:t>,</w:t>
            </w:r>
            <w:r w:rsidRPr="0056644C">
              <w:rPr>
                <w:rFonts w:ascii="Arial" w:hAnsi="Arial"/>
                <w:sz w:val="18"/>
                <w:szCs w:val="18"/>
              </w:rPr>
              <w:t>70</w:t>
            </w:r>
          </w:p>
        </w:tc>
      </w:tr>
      <w:tr w:rsidR="0073149F" w:rsidRPr="00B26466" w:rsidTr="00D17DDD">
        <w:tblPrEx>
          <w:tblCellMar>
            <w:top w:w="0" w:type="dxa"/>
            <w:bottom w:w="0" w:type="dxa"/>
          </w:tblCellMar>
        </w:tblPrEx>
        <w:trPr>
          <w:cantSplit/>
          <w:trHeight w:val="1154"/>
        </w:trPr>
        <w:tc>
          <w:tcPr>
            <w:tcW w:w="1947" w:type="dxa"/>
            <w:tcBorders>
              <w:bottom w:val="single" w:sz="4" w:space="0" w:color="auto"/>
            </w:tcBorders>
            <w:vAlign w:val="center"/>
          </w:tcPr>
          <w:p w:rsidR="0073149F" w:rsidRPr="00807C81" w:rsidRDefault="0073149F" w:rsidP="00B14A0D">
            <w:pPr>
              <w:tabs>
                <w:tab w:val="left" w:pos="1800"/>
              </w:tabs>
              <w:rPr>
                <w:rFonts w:ascii="Arial" w:hAnsi="Arial"/>
                <w:sz w:val="18"/>
                <w:szCs w:val="18"/>
              </w:rPr>
            </w:pPr>
            <w:r w:rsidRPr="00807C81">
              <w:rPr>
                <w:rFonts w:ascii="Arial" w:hAnsi="Arial"/>
                <w:sz w:val="18"/>
                <w:szCs w:val="18"/>
              </w:rPr>
              <w:t>Dépenses</w:t>
            </w:r>
          </w:p>
          <w:p w:rsidR="0073149F" w:rsidRPr="00807C81" w:rsidRDefault="0073149F" w:rsidP="00B14A0D">
            <w:pPr>
              <w:tabs>
                <w:tab w:val="left" w:pos="1800"/>
              </w:tabs>
              <w:rPr>
                <w:rFonts w:ascii="Arial" w:hAnsi="Arial"/>
                <w:sz w:val="18"/>
                <w:szCs w:val="18"/>
              </w:rPr>
            </w:pPr>
          </w:p>
          <w:p w:rsidR="0073149F" w:rsidRPr="00807C81" w:rsidRDefault="0073149F" w:rsidP="00B14A0D">
            <w:pPr>
              <w:tabs>
                <w:tab w:val="left" w:pos="1800"/>
              </w:tabs>
              <w:rPr>
                <w:rFonts w:ascii="Arial" w:hAnsi="Arial"/>
                <w:sz w:val="18"/>
                <w:szCs w:val="18"/>
              </w:rPr>
            </w:pPr>
            <w:r w:rsidRPr="00807C81">
              <w:rPr>
                <w:rFonts w:ascii="Arial" w:hAnsi="Arial"/>
                <w:sz w:val="18"/>
                <w:szCs w:val="18"/>
              </w:rPr>
              <w:t>- courantes</w:t>
            </w:r>
          </w:p>
          <w:p w:rsidR="0073149F" w:rsidRPr="00807C81" w:rsidRDefault="0073149F" w:rsidP="00B14A0D">
            <w:pPr>
              <w:tabs>
                <w:tab w:val="left" w:pos="1800"/>
              </w:tabs>
              <w:rPr>
                <w:rFonts w:ascii="Arial" w:hAnsi="Arial"/>
                <w:sz w:val="18"/>
                <w:szCs w:val="18"/>
              </w:rPr>
            </w:pPr>
          </w:p>
          <w:p w:rsidR="0073149F" w:rsidRPr="00807C81" w:rsidRDefault="0073149F" w:rsidP="00B14A0D">
            <w:pPr>
              <w:tabs>
                <w:tab w:val="left" w:pos="1800"/>
              </w:tabs>
              <w:rPr>
                <w:rFonts w:ascii="Arial" w:hAnsi="Arial"/>
                <w:sz w:val="18"/>
                <w:szCs w:val="18"/>
              </w:rPr>
            </w:pPr>
            <w:r w:rsidRPr="00807C81">
              <w:rPr>
                <w:rFonts w:ascii="Arial" w:hAnsi="Arial"/>
                <w:sz w:val="18"/>
                <w:szCs w:val="18"/>
              </w:rPr>
              <w:t>- en capital</w:t>
            </w:r>
          </w:p>
        </w:tc>
        <w:tc>
          <w:tcPr>
            <w:tcW w:w="2126" w:type="dxa"/>
            <w:gridSpan w:val="2"/>
            <w:tcBorders>
              <w:bottom w:val="single" w:sz="4" w:space="0" w:color="auto"/>
            </w:tcBorders>
            <w:vAlign w:val="center"/>
          </w:tcPr>
          <w:p w:rsidR="0073149F" w:rsidRPr="00D17DDD" w:rsidRDefault="0073149F" w:rsidP="00B14A0D">
            <w:pPr>
              <w:tabs>
                <w:tab w:val="left" w:pos="1800"/>
              </w:tabs>
              <w:rPr>
                <w:rFonts w:ascii="Arial" w:hAnsi="Arial"/>
                <w:sz w:val="18"/>
                <w:szCs w:val="18"/>
              </w:rPr>
            </w:pPr>
          </w:p>
          <w:p w:rsidR="0073149F" w:rsidRPr="00D17DDD" w:rsidRDefault="0073149F" w:rsidP="00B14A0D">
            <w:pPr>
              <w:tabs>
                <w:tab w:val="left" w:pos="1800"/>
              </w:tabs>
              <w:rPr>
                <w:rFonts w:ascii="Arial" w:hAnsi="Arial"/>
                <w:sz w:val="18"/>
                <w:szCs w:val="18"/>
              </w:rPr>
            </w:pPr>
          </w:p>
          <w:p w:rsidR="0073149F" w:rsidRPr="00D17DDD" w:rsidRDefault="0073149F" w:rsidP="00B14A0D">
            <w:pPr>
              <w:tabs>
                <w:tab w:val="left" w:pos="1800"/>
              </w:tabs>
              <w:rPr>
                <w:rFonts w:ascii="Arial" w:hAnsi="Arial"/>
                <w:sz w:val="18"/>
                <w:szCs w:val="18"/>
              </w:rPr>
            </w:pPr>
          </w:p>
          <w:p w:rsidR="0073149F" w:rsidRPr="00D17DDD" w:rsidRDefault="00D17DDD" w:rsidP="00B14A0D">
            <w:pPr>
              <w:tabs>
                <w:tab w:val="left" w:pos="1800"/>
              </w:tabs>
              <w:rPr>
                <w:rFonts w:ascii="Arial" w:hAnsi="Arial"/>
                <w:sz w:val="18"/>
                <w:szCs w:val="18"/>
              </w:rPr>
            </w:pPr>
            <w:r w:rsidRPr="00D17DDD">
              <w:rPr>
                <w:rFonts w:ascii="Arial" w:hAnsi="Arial"/>
                <w:sz w:val="18"/>
                <w:szCs w:val="18"/>
              </w:rPr>
              <w:t>9</w:t>
            </w:r>
            <w:r w:rsidR="00C52990" w:rsidRPr="00D17DDD">
              <w:rPr>
                <w:rFonts w:ascii="Arial" w:hAnsi="Arial"/>
                <w:sz w:val="18"/>
                <w:szCs w:val="18"/>
              </w:rPr>
              <w:t>.</w:t>
            </w:r>
            <w:r w:rsidRPr="00D17DDD">
              <w:rPr>
                <w:rFonts w:ascii="Arial" w:hAnsi="Arial"/>
                <w:sz w:val="18"/>
                <w:szCs w:val="18"/>
              </w:rPr>
              <w:t>402</w:t>
            </w:r>
            <w:r w:rsidR="0073149F" w:rsidRPr="00D17DDD">
              <w:rPr>
                <w:rFonts w:ascii="Arial" w:hAnsi="Arial"/>
                <w:sz w:val="18"/>
                <w:szCs w:val="18"/>
              </w:rPr>
              <w:t>.</w:t>
            </w:r>
            <w:r w:rsidRPr="00D17DDD">
              <w:rPr>
                <w:rFonts w:ascii="Arial" w:hAnsi="Arial"/>
                <w:sz w:val="18"/>
                <w:szCs w:val="18"/>
              </w:rPr>
              <w:t>446</w:t>
            </w:r>
            <w:r w:rsidR="0073149F" w:rsidRPr="00D17DDD">
              <w:rPr>
                <w:rFonts w:ascii="Arial" w:hAnsi="Arial"/>
                <w:sz w:val="18"/>
                <w:szCs w:val="18"/>
              </w:rPr>
              <w:t>.</w:t>
            </w:r>
            <w:r w:rsidRPr="00D17DDD">
              <w:rPr>
                <w:rFonts w:ascii="Arial" w:hAnsi="Arial"/>
                <w:sz w:val="18"/>
                <w:szCs w:val="18"/>
              </w:rPr>
              <w:t>168</w:t>
            </w:r>
            <w:r w:rsidR="0073149F" w:rsidRPr="00D17DDD">
              <w:rPr>
                <w:rFonts w:ascii="Arial" w:hAnsi="Arial"/>
                <w:sz w:val="18"/>
                <w:szCs w:val="18"/>
              </w:rPr>
              <w:t>,00</w:t>
            </w:r>
          </w:p>
          <w:p w:rsidR="0073149F" w:rsidRPr="00D17DDD" w:rsidRDefault="0073149F" w:rsidP="00B14A0D">
            <w:pPr>
              <w:tabs>
                <w:tab w:val="left" w:pos="1800"/>
              </w:tabs>
              <w:rPr>
                <w:rFonts w:ascii="Arial" w:hAnsi="Arial"/>
                <w:sz w:val="18"/>
                <w:szCs w:val="18"/>
              </w:rPr>
            </w:pPr>
          </w:p>
          <w:p w:rsidR="0073149F" w:rsidRPr="00D17DDD" w:rsidRDefault="0073149F" w:rsidP="00B14A0D">
            <w:pPr>
              <w:tabs>
                <w:tab w:val="left" w:pos="1800"/>
              </w:tabs>
              <w:rPr>
                <w:rFonts w:ascii="Arial" w:hAnsi="Arial"/>
                <w:sz w:val="18"/>
                <w:szCs w:val="18"/>
              </w:rPr>
            </w:pPr>
            <w:r w:rsidRPr="00D17DDD">
              <w:rPr>
                <w:rFonts w:ascii="Arial" w:hAnsi="Arial"/>
                <w:sz w:val="18"/>
                <w:szCs w:val="18"/>
              </w:rPr>
              <w:t xml:space="preserve">   </w:t>
            </w:r>
            <w:r w:rsidR="00D17DDD" w:rsidRPr="00D17DDD">
              <w:rPr>
                <w:rFonts w:ascii="Arial" w:hAnsi="Arial"/>
                <w:sz w:val="18"/>
                <w:szCs w:val="18"/>
              </w:rPr>
              <w:t>93</w:t>
            </w:r>
            <w:r w:rsidR="00C52990" w:rsidRPr="00D17DDD">
              <w:rPr>
                <w:rFonts w:ascii="Arial" w:hAnsi="Arial"/>
                <w:sz w:val="18"/>
                <w:szCs w:val="18"/>
              </w:rPr>
              <w:t>2</w:t>
            </w:r>
            <w:r w:rsidRPr="00D17DDD">
              <w:rPr>
                <w:rFonts w:ascii="Arial" w:hAnsi="Arial"/>
                <w:sz w:val="18"/>
                <w:szCs w:val="18"/>
              </w:rPr>
              <w:t>.</w:t>
            </w:r>
            <w:r w:rsidR="00D17DDD" w:rsidRPr="00D17DDD">
              <w:rPr>
                <w:rFonts w:ascii="Arial" w:hAnsi="Arial"/>
                <w:sz w:val="18"/>
                <w:szCs w:val="18"/>
              </w:rPr>
              <w:t>789</w:t>
            </w:r>
            <w:r w:rsidRPr="00D17DDD">
              <w:rPr>
                <w:rFonts w:ascii="Arial" w:hAnsi="Arial"/>
                <w:sz w:val="18"/>
                <w:szCs w:val="18"/>
              </w:rPr>
              <w:t>.</w:t>
            </w:r>
            <w:r w:rsidR="00D17DDD" w:rsidRPr="00D17DDD">
              <w:rPr>
                <w:rFonts w:ascii="Arial" w:hAnsi="Arial"/>
                <w:sz w:val="18"/>
                <w:szCs w:val="18"/>
              </w:rPr>
              <w:t>939</w:t>
            </w:r>
            <w:r w:rsidRPr="00D17DDD">
              <w:rPr>
                <w:rFonts w:ascii="Arial" w:hAnsi="Arial"/>
                <w:sz w:val="18"/>
                <w:szCs w:val="18"/>
              </w:rPr>
              <w:t>,00</w:t>
            </w:r>
          </w:p>
          <w:p w:rsidR="0073149F" w:rsidRPr="00D17DDD" w:rsidRDefault="0073149F" w:rsidP="00B14A0D">
            <w:pPr>
              <w:tabs>
                <w:tab w:val="left" w:pos="1800"/>
              </w:tabs>
              <w:rPr>
                <w:rFonts w:ascii="Arial" w:hAnsi="Arial"/>
                <w:sz w:val="18"/>
                <w:szCs w:val="18"/>
              </w:rPr>
            </w:pPr>
            <w:r w:rsidRPr="00D17DDD">
              <w:rPr>
                <w:rFonts w:ascii="Arial" w:hAnsi="Arial"/>
                <w:sz w:val="18"/>
                <w:szCs w:val="18"/>
              </w:rPr>
              <w:t xml:space="preserve">    </w:t>
            </w:r>
          </w:p>
        </w:tc>
        <w:tc>
          <w:tcPr>
            <w:tcW w:w="1843" w:type="dxa"/>
            <w:tcBorders>
              <w:bottom w:val="single" w:sz="4" w:space="0" w:color="auto"/>
            </w:tcBorders>
            <w:vAlign w:val="center"/>
          </w:tcPr>
          <w:p w:rsidR="0073149F" w:rsidRPr="00D17DDD" w:rsidRDefault="0073149F" w:rsidP="00B14A0D">
            <w:pPr>
              <w:tabs>
                <w:tab w:val="left" w:pos="1800"/>
              </w:tabs>
              <w:rPr>
                <w:rFonts w:ascii="Arial" w:hAnsi="Arial"/>
                <w:sz w:val="18"/>
                <w:szCs w:val="18"/>
              </w:rPr>
            </w:pPr>
          </w:p>
          <w:p w:rsidR="0073149F" w:rsidRPr="00D17DDD" w:rsidRDefault="0073149F" w:rsidP="00B14A0D">
            <w:pPr>
              <w:tabs>
                <w:tab w:val="left" w:pos="1800"/>
              </w:tabs>
              <w:rPr>
                <w:rFonts w:ascii="Arial" w:hAnsi="Arial"/>
                <w:sz w:val="18"/>
                <w:szCs w:val="18"/>
              </w:rPr>
            </w:pPr>
          </w:p>
          <w:p w:rsidR="0073149F" w:rsidRPr="00D17DDD" w:rsidRDefault="0073149F" w:rsidP="00B14A0D">
            <w:pPr>
              <w:tabs>
                <w:tab w:val="left" w:pos="1800"/>
              </w:tabs>
              <w:rPr>
                <w:rFonts w:ascii="Arial" w:hAnsi="Arial"/>
                <w:sz w:val="18"/>
                <w:szCs w:val="18"/>
              </w:rPr>
            </w:pPr>
          </w:p>
          <w:p w:rsidR="0073149F" w:rsidRPr="00D17DDD" w:rsidRDefault="00FA3EAC" w:rsidP="00B14A0D">
            <w:pPr>
              <w:tabs>
                <w:tab w:val="left" w:pos="1800"/>
              </w:tabs>
              <w:rPr>
                <w:rFonts w:ascii="Arial" w:hAnsi="Arial"/>
                <w:sz w:val="18"/>
                <w:szCs w:val="18"/>
              </w:rPr>
            </w:pPr>
            <w:r w:rsidRPr="00D17DDD">
              <w:rPr>
                <w:rFonts w:ascii="Arial" w:hAnsi="Arial"/>
                <w:sz w:val="18"/>
                <w:szCs w:val="18"/>
              </w:rPr>
              <w:t xml:space="preserve"> </w:t>
            </w:r>
            <w:r w:rsidR="00D17DDD" w:rsidRPr="00D17DDD">
              <w:rPr>
                <w:rFonts w:ascii="Arial" w:hAnsi="Arial"/>
                <w:sz w:val="18"/>
                <w:szCs w:val="18"/>
              </w:rPr>
              <w:t>9</w:t>
            </w:r>
            <w:r w:rsidR="0073149F" w:rsidRPr="00D17DDD">
              <w:rPr>
                <w:rFonts w:ascii="Arial" w:hAnsi="Arial"/>
                <w:sz w:val="18"/>
                <w:szCs w:val="18"/>
              </w:rPr>
              <w:t>.</w:t>
            </w:r>
            <w:r w:rsidR="00D17DDD" w:rsidRPr="00D17DDD">
              <w:rPr>
                <w:rFonts w:ascii="Arial" w:hAnsi="Arial"/>
                <w:sz w:val="18"/>
                <w:szCs w:val="18"/>
              </w:rPr>
              <w:t>493</w:t>
            </w:r>
            <w:r w:rsidR="0073149F" w:rsidRPr="00D17DDD">
              <w:rPr>
                <w:rFonts w:ascii="Arial" w:hAnsi="Arial"/>
                <w:sz w:val="18"/>
                <w:szCs w:val="18"/>
              </w:rPr>
              <w:t>.</w:t>
            </w:r>
            <w:r w:rsidR="00D17DDD" w:rsidRPr="00D17DDD">
              <w:rPr>
                <w:rFonts w:ascii="Arial" w:hAnsi="Arial"/>
                <w:sz w:val="18"/>
                <w:szCs w:val="18"/>
              </w:rPr>
              <w:t>128</w:t>
            </w:r>
            <w:r w:rsidR="0073149F" w:rsidRPr="00D17DDD">
              <w:rPr>
                <w:rFonts w:ascii="Arial" w:hAnsi="Arial"/>
                <w:sz w:val="18"/>
                <w:szCs w:val="18"/>
              </w:rPr>
              <w:t>.</w:t>
            </w:r>
            <w:r w:rsidR="00D17DDD" w:rsidRPr="00D17DDD">
              <w:rPr>
                <w:rFonts w:ascii="Arial" w:hAnsi="Arial"/>
                <w:sz w:val="18"/>
                <w:szCs w:val="18"/>
              </w:rPr>
              <w:t>688</w:t>
            </w:r>
            <w:r w:rsidR="0073149F" w:rsidRPr="00D17DDD">
              <w:rPr>
                <w:rFonts w:ascii="Arial" w:hAnsi="Arial"/>
                <w:sz w:val="18"/>
                <w:szCs w:val="18"/>
              </w:rPr>
              <w:t>,</w:t>
            </w:r>
            <w:r w:rsidR="00C52990" w:rsidRPr="00D17DDD">
              <w:rPr>
                <w:rFonts w:ascii="Arial" w:hAnsi="Arial"/>
                <w:sz w:val="18"/>
                <w:szCs w:val="18"/>
              </w:rPr>
              <w:t>9</w:t>
            </w:r>
            <w:r w:rsidR="00D17DDD" w:rsidRPr="00D17DDD">
              <w:rPr>
                <w:rFonts w:ascii="Arial" w:hAnsi="Arial"/>
                <w:sz w:val="18"/>
                <w:szCs w:val="18"/>
              </w:rPr>
              <w:t>3</w:t>
            </w:r>
          </w:p>
          <w:p w:rsidR="0073149F" w:rsidRPr="00D17DDD" w:rsidRDefault="0073149F" w:rsidP="00B14A0D">
            <w:pPr>
              <w:tabs>
                <w:tab w:val="left" w:pos="1800"/>
              </w:tabs>
              <w:rPr>
                <w:rFonts w:ascii="Arial" w:hAnsi="Arial"/>
                <w:sz w:val="18"/>
                <w:szCs w:val="18"/>
              </w:rPr>
            </w:pPr>
          </w:p>
          <w:p w:rsidR="0073149F" w:rsidRPr="00D17DDD" w:rsidRDefault="00B117D3" w:rsidP="00B14A0D">
            <w:pPr>
              <w:tabs>
                <w:tab w:val="left" w:pos="1800"/>
              </w:tabs>
              <w:rPr>
                <w:rFonts w:ascii="Arial" w:hAnsi="Arial"/>
                <w:sz w:val="18"/>
                <w:szCs w:val="18"/>
              </w:rPr>
            </w:pPr>
            <w:r w:rsidRPr="00D17DDD">
              <w:rPr>
                <w:rFonts w:ascii="Arial" w:hAnsi="Arial"/>
                <w:sz w:val="18"/>
                <w:szCs w:val="18"/>
              </w:rPr>
              <w:t xml:space="preserve"> </w:t>
            </w:r>
            <w:r w:rsidR="0008744E" w:rsidRPr="00D17DDD">
              <w:rPr>
                <w:rFonts w:ascii="Arial" w:hAnsi="Arial"/>
                <w:sz w:val="18"/>
                <w:szCs w:val="18"/>
              </w:rPr>
              <w:t>1</w:t>
            </w:r>
            <w:r w:rsidRPr="00D17DDD">
              <w:rPr>
                <w:rFonts w:ascii="Arial" w:hAnsi="Arial"/>
                <w:sz w:val="18"/>
                <w:szCs w:val="18"/>
              </w:rPr>
              <w:t>.</w:t>
            </w:r>
            <w:r w:rsidR="00D17DDD" w:rsidRPr="00D17DDD">
              <w:rPr>
                <w:rFonts w:ascii="Arial" w:hAnsi="Arial"/>
                <w:sz w:val="18"/>
                <w:szCs w:val="18"/>
              </w:rPr>
              <w:t>235</w:t>
            </w:r>
            <w:r w:rsidR="0073149F" w:rsidRPr="00D17DDD">
              <w:rPr>
                <w:rFonts w:ascii="Arial" w:hAnsi="Arial"/>
                <w:sz w:val="18"/>
                <w:szCs w:val="18"/>
              </w:rPr>
              <w:t>.</w:t>
            </w:r>
            <w:r w:rsidR="00C52990" w:rsidRPr="00D17DDD">
              <w:rPr>
                <w:rFonts w:ascii="Arial" w:hAnsi="Arial"/>
                <w:sz w:val="18"/>
                <w:szCs w:val="18"/>
              </w:rPr>
              <w:t>43</w:t>
            </w:r>
            <w:r w:rsidR="00D17DDD" w:rsidRPr="00D17DDD">
              <w:rPr>
                <w:rFonts w:ascii="Arial" w:hAnsi="Arial"/>
                <w:sz w:val="18"/>
                <w:szCs w:val="18"/>
              </w:rPr>
              <w:t>5</w:t>
            </w:r>
            <w:r w:rsidR="0073149F" w:rsidRPr="00D17DDD">
              <w:rPr>
                <w:rFonts w:ascii="Arial" w:hAnsi="Arial"/>
                <w:sz w:val="18"/>
                <w:szCs w:val="18"/>
              </w:rPr>
              <w:t>.</w:t>
            </w:r>
            <w:r w:rsidR="00D17DDD" w:rsidRPr="00D17DDD">
              <w:rPr>
                <w:rFonts w:ascii="Arial" w:hAnsi="Arial"/>
                <w:sz w:val="18"/>
                <w:szCs w:val="18"/>
              </w:rPr>
              <w:t>752</w:t>
            </w:r>
            <w:r w:rsidR="0073149F" w:rsidRPr="00D17DDD">
              <w:rPr>
                <w:rFonts w:ascii="Arial" w:hAnsi="Arial"/>
                <w:sz w:val="18"/>
                <w:szCs w:val="18"/>
              </w:rPr>
              <w:t>,</w:t>
            </w:r>
            <w:r w:rsidR="00C52990" w:rsidRPr="00D17DDD">
              <w:rPr>
                <w:rFonts w:ascii="Arial" w:hAnsi="Arial"/>
                <w:sz w:val="18"/>
                <w:szCs w:val="18"/>
              </w:rPr>
              <w:t>8</w:t>
            </w:r>
            <w:r w:rsidR="00D17DDD" w:rsidRPr="00D17DDD">
              <w:rPr>
                <w:rFonts w:ascii="Arial" w:hAnsi="Arial"/>
                <w:sz w:val="18"/>
                <w:szCs w:val="18"/>
              </w:rPr>
              <w:t>8</w:t>
            </w:r>
          </w:p>
          <w:p w:rsidR="0073149F" w:rsidRPr="00D17DDD" w:rsidRDefault="0073149F" w:rsidP="00B14A0D">
            <w:pPr>
              <w:tabs>
                <w:tab w:val="left" w:pos="1800"/>
              </w:tabs>
              <w:rPr>
                <w:rFonts w:ascii="Arial" w:hAnsi="Arial"/>
                <w:sz w:val="18"/>
                <w:szCs w:val="18"/>
              </w:rPr>
            </w:pPr>
            <w:r w:rsidRPr="00D17DDD">
              <w:rPr>
                <w:rFonts w:ascii="Arial" w:hAnsi="Arial"/>
                <w:sz w:val="18"/>
                <w:szCs w:val="18"/>
              </w:rPr>
              <w:t xml:space="preserve">     </w:t>
            </w:r>
          </w:p>
        </w:tc>
        <w:tc>
          <w:tcPr>
            <w:tcW w:w="1842" w:type="dxa"/>
            <w:tcBorders>
              <w:bottom w:val="single" w:sz="4" w:space="0" w:color="auto"/>
            </w:tcBorders>
            <w:vAlign w:val="center"/>
          </w:tcPr>
          <w:p w:rsidR="0073149F" w:rsidRPr="00D17DDD" w:rsidRDefault="0073149F" w:rsidP="00B14A0D">
            <w:pPr>
              <w:tabs>
                <w:tab w:val="left" w:pos="1800"/>
              </w:tabs>
              <w:rPr>
                <w:rFonts w:ascii="Arial" w:hAnsi="Arial"/>
                <w:sz w:val="18"/>
                <w:szCs w:val="18"/>
              </w:rPr>
            </w:pPr>
          </w:p>
          <w:p w:rsidR="0073149F" w:rsidRPr="00D17DDD" w:rsidRDefault="0073149F" w:rsidP="00B14A0D">
            <w:pPr>
              <w:tabs>
                <w:tab w:val="left" w:pos="1800"/>
              </w:tabs>
              <w:rPr>
                <w:rFonts w:ascii="Arial" w:hAnsi="Arial"/>
                <w:sz w:val="18"/>
                <w:szCs w:val="18"/>
              </w:rPr>
            </w:pPr>
            <w:r w:rsidRPr="00D17DDD">
              <w:rPr>
                <w:rFonts w:ascii="Arial" w:hAnsi="Arial"/>
                <w:sz w:val="18"/>
                <w:szCs w:val="18"/>
              </w:rPr>
              <w:t xml:space="preserve"> </w:t>
            </w:r>
          </w:p>
          <w:p w:rsidR="0073149F" w:rsidRPr="00D17DDD" w:rsidRDefault="0073149F" w:rsidP="00B14A0D">
            <w:pPr>
              <w:tabs>
                <w:tab w:val="left" w:pos="1800"/>
              </w:tabs>
              <w:rPr>
                <w:rFonts w:ascii="Arial" w:hAnsi="Arial"/>
                <w:sz w:val="18"/>
                <w:szCs w:val="18"/>
              </w:rPr>
            </w:pPr>
          </w:p>
          <w:p w:rsidR="0073149F" w:rsidRPr="00D17DDD" w:rsidRDefault="008948BA" w:rsidP="00B14A0D">
            <w:pPr>
              <w:tabs>
                <w:tab w:val="left" w:pos="1800"/>
              </w:tabs>
              <w:rPr>
                <w:rFonts w:ascii="Arial" w:hAnsi="Arial"/>
                <w:sz w:val="18"/>
                <w:szCs w:val="18"/>
              </w:rPr>
            </w:pPr>
            <w:r w:rsidRPr="00D17DDD">
              <w:rPr>
                <w:rFonts w:ascii="Arial" w:hAnsi="Arial"/>
                <w:sz w:val="18"/>
                <w:szCs w:val="18"/>
              </w:rPr>
              <w:t xml:space="preserve">   </w:t>
            </w:r>
            <w:r w:rsidR="00D17DDD" w:rsidRPr="00D17DDD">
              <w:rPr>
                <w:rFonts w:ascii="Arial" w:hAnsi="Arial"/>
                <w:sz w:val="18"/>
                <w:szCs w:val="18"/>
              </w:rPr>
              <w:t xml:space="preserve">  90</w:t>
            </w:r>
            <w:r w:rsidR="0073149F" w:rsidRPr="00D17DDD">
              <w:rPr>
                <w:rFonts w:ascii="Arial" w:hAnsi="Arial"/>
                <w:sz w:val="18"/>
                <w:szCs w:val="18"/>
              </w:rPr>
              <w:t>.</w:t>
            </w:r>
            <w:r w:rsidR="00D17DDD" w:rsidRPr="00D17DDD">
              <w:rPr>
                <w:rFonts w:ascii="Arial" w:hAnsi="Arial"/>
                <w:sz w:val="18"/>
                <w:szCs w:val="18"/>
              </w:rPr>
              <w:t>682</w:t>
            </w:r>
            <w:r w:rsidR="0073149F" w:rsidRPr="00D17DDD">
              <w:rPr>
                <w:rFonts w:ascii="Arial" w:hAnsi="Arial"/>
                <w:sz w:val="18"/>
                <w:szCs w:val="18"/>
              </w:rPr>
              <w:t>.</w:t>
            </w:r>
            <w:r w:rsidR="00D17DDD" w:rsidRPr="00D17DDD">
              <w:rPr>
                <w:rFonts w:ascii="Arial" w:hAnsi="Arial"/>
                <w:sz w:val="18"/>
                <w:szCs w:val="18"/>
              </w:rPr>
              <w:t>520</w:t>
            </w:r>
            <w:r w:rsidR="0073149F" w:rsidRPr="00D17DDD">
              <w:rPr>
                <w:rFonts w:ascii="Arial" w:hAnsi="Arial"/>
                <w:sz w:val="18"/>
                <w:szCs w:val="18"/>
              </w:rPr>
              <w:t>,</w:t>
            </w:r>
            <w:r w:rsidR="001B170A" w:rsidRPr="00D17DDD">
              <w:rPr>
                <w:rFonts w:ascii="Arial" w:hAnsi="Arial"/>
                <w:sz w:val="18"/>
                <w:szCs w:val="18"/>
              </w:rPr>
              <w:t>9</w:t>
            </w:r>
            <w:r w:rsidR="00D17DDD" w:rsidRPr="00D17DDD">
              <w:rPr>
                <w:rFonts w:ascii="Arial" w:hAnsi="Arial"/>
                <w:sz w:val="18"/>
                <w:szCs w:val="18"/>
              </w:rPr>
              <w:t>3</w:t>
            </w:r>
          </w:p>
          <w:p w:rsidR="0073149F" w:rsidRPr="00D17DDD" w:rsidRDefault="0073149F" w:rsidP="00B14A0D">
            <w:pPr>
              <w:tabs>
                <w:tab w:val="left" w:pos="1800"/>
              </w:tabs>
              <w:rPr>
                <w:rFonts w:ascii="Arial" w:hAnsi="Arial"/>
                <w:sz w:val="18"/>
                <w:szCs w:val="18"/>
              </w:rPr>
            </w:pPr>
          </w:p>
          <w:p w:rsidR="0073149F" w:rsidRPr="00D17DDD" w:rsidRDefault="0057686D" w:rsidP="00B14A0D">
            <w:pPr>
              <w:tabs>
                <w:tab w:val="left" w:pos="1800"/>
              </w:tabs>
              <w:rPr>
                <w:rFonts w:ascii="Arial" w:hAnsi="Arial"/>
                <w:sz w:val="18"/>
                <w:szCs w:val="18"/>
              </w:rPr>
            </w:pPr>
            <w:r w:rsidRPr="00D17DDD">
              <w:rPr>
                <w:rFonts w:ascii="Arial" w:hAnsi="Arial"/>
                <w:sz w:val="18"/>
                <w:szCs w:val="18"/>
              </w:rPr>
              <w:t xml:space="preserve">  </w:t>
            </w:r>
            <w:r w:rsidR="001B170A" w:rsidRPr="00D17DDD">
              <w:rPr>
                <w:rFonts w:ascii="Arial" w:hAnsi="Arial"/>
                <w:sz w:val="18"/>
                <w:szCs w:val="18"/>
              </w:rPr>
              <w:t xml:space="preserve"> </w:t>
            </w:r>
            <w:r w:rsidR="00D17DDD" w:rsidRPr="00D17DDD">
              <w:rPr>
                <w:rFonts w:ascii="Arial" w:hAnsi="Arial"/>
                <w:sz w:val="18"/>
                <w:szCs w:val="18"/>
              </w:rPr>
              <w:t>302</w:t>
            </w:r>
            <w:r w:rsidR="0073149F" w:rsidRPr="00D17DDD">
              <w:rPr>
                <w:rFonts w:ascii="Arial" w:hAnsi="Arial"/>
                <w:sz w:val="18"/>
                <w:szCs w:val="18"/>
              </w:rPr>
              <w:t>.</w:t>
            </w:r>
            <w:r w:rsidR="00D17DDD" w:rsidRPr="00D17DDD">
              <w:rPr>
                <w:rFonts w:ascii="Arial" w:hAnsi="Arial"/>
                <w:sz w:val="18"/>
                <w:szCs w:val="18"/>
              </w:rPr>
              <w:t>645</w:t>
            </w:r>
            <w:r w:rsidR="0073149F" w:rsidRPr="00D17DDD">
              <w:rPr>
                <w:rFonts w:ascii="Arial" w:hAnsi="Arial"/>
                <w:sz w:val="18"/>
                <w:szCs w:val="18"/>
              </w:rPr>
              <w:t>.</w:t>
            </w:r>
            <w:r w:rsidR="00D17DDD" w:rsidRPr="00D17DDD">
              <w:rPr>
                <w:rFonts w:ascii="Arial" w:hAnsi="Arial"/>
                <w:sz w:val="18"/>
                <w:szCs w:val="18"/>
              </w:rPr>
              <w:t>813</w:t>
            </w:r>
            <w:r w:rsidR="0073149F" w:rsidRPr="00D17DDD">
              <w:rPr>
                <w:rFonts w:ascii="Arial" w:hAnsi="Arial"/>
                <w:sz w:val="18"/>
                <w:szCs w:val="18"/>
              </w:rPr>
              <w:t>,</w:t>
            </w:r>
            <w:r w:rsidR="00D17DDD" w:rsidRPr="00D17DDD">
              <w:rPr>
                <w:rFonts w:ascii="Arial" w:hAnsi="Arial"/>
                <w:sz w:val="18"/>
                <w:szCs w:val="18"/>
              </w:rPr>
              <w:t>88</w:t>
            </w:r>
          </w:p>
          <w:p w:rsidR="0073149F" w:rsidRPr="00D17DDD" w:rsidRDefault="0073149F" w:rsidP="00B14A0D">
            <w:pPr>
              <w:tabs>
                <w:tab w:val="left" w:pos="1800"/>
              </w:tabs>
              <w:rPr>
                <w:rFonts w:ascii="Arial" w:hAnsi="Arial"/>
                <w:sz w:val="18"/>
                <w:szCs w:val="18"/>
              </w:rPr>
            </w:pPr>
            <w:r w:rsidRPr="00D17DDD">
              <w:rPr>
                <w:rFonts w:ascii="Arial" w:hAnsi="Arial"/>
                <w:sz w:val="18"/>
                <w:szCs w:val="18"/>
              </w:rPr>
              <w:t xml:space="preserve"> </w:t>
            </w:r>
          </w:p>
        </w:tc>
        <w:tc>
          <w:tcPr>
            <w:tcW w:w="1134" w:type="dxa"/>
            <w:tcBorders>
              <w:bottom w:val="single" w:sz="4" w:space="0" w:color="auto"/>
            </w:tcBorders>
            <w:vAlign w:val="center"/>
          </w:tcPr>
          <w:p w:rsidR="0073149F" w:rsidRPr="00D17DDD" w:rsidRDefault="0073149F" w:rsidP="00B14A0D">
            <w:pPr>
              <w:tabs>
                <w:tab w:val="left" w:pos="1800"/>
              </w:tabs>
              <w:rPr>
                <w:rFonts w:ascii="Arial" w:hAnsi="Arial"/>
                <w:sz w:val="18"/>
                <w:szCs w:val="18"/>
              </w:rPr>
            </w:pPr>
          </w:p>
          <w:p w:rsidR="0073149F" w:rsidRPr="00D17DDD" w:rsidRDefault="0073149F" w:rsidP="00B14A0D">
            <w:pPr>
              <w:tabs>
                <w:tab w:val="left" w:pos="1800"/>
              </w:tabs>
              <w:rPr>
                <w:rFonts w:ascii="Arial" w:hAnsi="Arial"/>
                <w:sz w:val="18"/>
                <w:szCs w:val="18"/>
              </w:rPr>
            </w:pPr>
            <w:r w:rsidRPr="00D17DDD">
              <w:rPr>
                <w:rFonts w:ascii="Arial" w:hAnsi="Arial"/>
                <w:sz w:val="18"/>
                <w:szCs w:val="18"/>
              </w:rPr>
              <w:t xml:space="preserve">  </w:t>
            </w:r>
          </w:p>
          <w:p w:rsidR="0073149F" w:rsidRPr="00D17DDD" w:rsidRDefault="0073149F" w:rsidP="00B14A0D">
            <w:pPr>
              <w:tabs>
                <w:tab w:val="left" w:pos="1800"/>
              </w:tabs>
              <w:rPr>
                <w:rFonts w:ascii="Arial" w:hAnsi="Arial"/>
                <w:sz w:val="18"/>
                <w:szCs w:val="18"/>
              </w:rPr>
            </w:pPr>
          </w:p>
          <w:p w:rsidR="0073149F" w:rsidRPr="00D17DDD" w:rsidRDefault="00D17DDD" w:rsidP="00B14A0D">
            <w:pPr>
              <w:tabs>
                <w:tab w:val="left" w:pos="1800"/>
              </w:tabs>
              <w:jc w:val="center"/>
              <w:rPr>
                <w:rFonts w:ascii="Arial" w:hAnsi="Arial"/>
                <w:sz w:val="18"/>
                <w:szCs w:val="18"/>
              </w:rPr>
            </w:pPr>
            <w:r w:rsidRPr="00D17DDD">
              <w:rPr>
                <w:rFonts w:ascii="Arial" w:hAnsi="Arial"/>
                <w:sz w:val="18"/>
                <w:szCs w:val="18"/>
              </w:rPr>
              <w:t>0</w:t>
            </w:r>
            <w:r w:rsidR="0073149F" w:rsidRPr="00D17DDD">
              <w:rPr>
                <w:rFonts w:ascii="Arial" w:hAnsi="Arial"/>
                <w:sz w:val="18"/>
                <w:szCs w:val="18"/>
              </w:rPr>
              <w:t>,</w:t>
            </w:r>
            <w:r w:rsidRPr="00D17DDD">
              <w:rPr>
                <w:rFonts w:ascii="Arial" w:hAnsi="Arial"/>
                <w:sz w:val="18"/>
                <w:szCs w:val="18"/>
              </w:rPr>
              <w:t>96</w:t>
            </w:r>
          </w:p>
          <w:p w:rsidR="0073149F" w:rsidRPr="00D17DDD" w:rsidRDefault="0073149F" w:rsidP="00B14A0D">
            <w:pPr>
              <w:tabs>
                <w:tab w:val="left" w:pos="1800"/>
              </w:tabs>
              <w:rPr>
                <w:rFonts w:ascii="Arial" w:hAnsi="Arial"/>
                <w:sz w:val="18"/>
                <w:szCs w:val="18"/>
              </w:rPr>
            </w:pPr>
          </w:p>
          <w:p w:rsidR="0073149F" w:rsidRPr="00D17DDD" w:rsidRDefault="00D17DDD" w:rsidP="00B14A0D">
            <w:pPr>
              <w:tabs>
                <w:tab w:val="left" w:pos="1800"/>
              </w:tabs>
              <w:jc w:val="center"/>
              <w:rPr>
                <w:rFonts w:ascii="Arial" w:hAnsi="Arial"/>
                <w:sz w:val="18"/>
                <w:szCs w:val="18"/>
              </w:rPr>
            </w:pPr>
            <w:r w:rsidRPr="00D17DDD">
              <w:rPr>
                <w:rFonts w:ascii="Arial" w:hAnsi="Arial"/>
                <w:sz w:val="18"/>
                <w:szCs w:val="18"/>
              </w:rPr>
              <w:t>32</w:t>
            </w:r>
            <w:r w:rsidR="0073149F" w:rsidRPr="00D17DDD">
              <w:rPr>
                <w:rFonts w:ascii="Arial" w:hAnsi="Arial"/>
                <w:sz w:val="18"/>
                <w:szCs w:val="18"/>
              </w:rPr>
              <w:t>,</w:t>
            </w:r>
            <w:r w:rsidRPr="00D17DDD">
              <w:rPr>
                <w:rFonts w:ascii="Arial" w:hAnsi="Arial"/>
                <w:sz w:val="18"/>
                <w:szCs w:val="18"/>
              </w:rPr>
              <w:t>45</w:t>
            </w:r>
          </w:p>
          <w:p w:rsidR="0073149F" w:rsidRPr="00D17DDD" w:rsidRDefault="0073149F" w:rsidP="00B14A0D">
            <w:pPr>
              <w:tabs>
                <w:tab w:val="left" w:pos="1800"/>
              </w:tabs>
              <w:rPr>
                <w:rFonts w:ascii="Arial" w:hAnsi="Arial"/>
                <w:sz w:val="18"/>
                <w:szCs w:val="18"/>
              </w:rPr>
            </w:pPr>
          </w:p>
        </w:tc>
      </w:tr>
      <w:tr w:rsidR="0073149F" w:rsidRPr="008F349A" w:rsidTr="00D17DDD">
        <w:tblPrEx>
          <w:tblCellMar>
            <w:top w:w="0" w:type="dxa"/>
            <w:bottom w:w="0" w:type="dxa"/>
          </w:tblCellMar>
        </w:tblPrEx>
        <w:trPr>
          <w:cantSplit/>
          <w:trHeight w:val="407"/>
        </w:trPr>
        <w:tc>
          <w:tcPr>
            <w:tcW w:w="1947" w:type="dxa"/>
            <w:tcBorders>
              <w:bottom w:val="single" w:sz="4" w:space="0" w:color="auto"/>
            </w:tcBorders>
            <w:vAlign w:val="center"/>
          </w:tcPr>
          <w:p w:rsidR="0073149F" w:rsidRPr="008F349A" w:rsidRDefault="0073149F" w:rsidP="00B14A0D">
            <w:pPr>
              <w:tabs>
                <w:tab w:val="left" w:pos="1800"/>
              </w:tabs>
              <w:rPr>
                <w:rFonts w:ascii="Arial" w:hAnsi="Arial"/>
                <w:sz w:val="18"/>
                <w:szCs w:val="18"/>
              </w:rPr>
            </w:pPr>
            <w:r w:rsidRPr="008F349A">
              <w:rPr>
                <w:rFonts w:ascii="Arial" w:hAnsi="Arial"/>
                <w:sz w:val="18"/>
                <w:szCs w:val="18"/>
              </w:rPr>
              <w:t>Total dépenses (2)</w:t>
            </w:r>
          </w:p>
        </w:tc>
        <w:tc>
          <w:tcPr>
            <w:tcW w:w="2126" w:type="dxa"/>
            <w:gridSpan w:val="2"/>
            <w:tcBorders>
              <w:bottom w:val="single" w:sz="4" w:space="0" w:color="auto"/>
            </w:tcBorders>
            <w:vAlign w:val="center"/>
          </w:tcPr>
          <w:p w:rsidR="0073149F" w:rsidRPr="008F349A" w:rsidRDefault="00D17DDD" w:rsidP="00D17DDD">
            <w:pPr>
              <w:tabs>
                <w:tab w:val="left" w:pos="1800"/>
              </w:tabs>
              <w:rPr>
                <w:rFonts w:ascii="Arial" w:hAnsi="Arial"/>
                <w:sz w:val="18"/>
                <w:szCs w:val="18"/>
              </w:rPr>
            </w:pPr>
            <w:r w:rsidRPr="008F349A">
              <w:rPr>
                <w:rFonts w:ascii="Arial" w:hAnsi="Arial"/>
                <w:sz w:val="18"/>
                <w:szCs w:val="18"/>
              </w:rPr>
              <w:t>10</w:t>
            </w:r>
            <w:r w:rsidR="0073149F" w:rsidRPr="008F349A">
              <w:rPr>
                <w:rFonts w:ascii="Arial" w:hAnsi="Arial"/>
                <w:sz w:val="18"/>
                <w:szCs w:val="18"/>
              </w:rPr>
              <w:t>.</w:t>
            </w:r>
            <w:r w:rsidRPr="008F349A">
              <w:rPr>
                <w:rFonts w:ascii="Arial" w:hAnsi="Arial"/>
                <w:sz w:val="18"/>
                <w:szCs w:val="18"/>
              </w:rPr>
              <w:t>335</w:t>
            </w:r>
            <w:r w:rsidR="0073149F" w:rsidRPr="008F349A">
              <w:rPr>
                <w:rFonts w:ascii="Arial" w:hAnsi="Arial"/>
                <w:sz w:val="18"/>
                <w:szCs w:val="18"/>
              </w:rPr>
              <w:t>.</w:t>
            </w:r>
            <w:r w:rsidRPr="008F349A">
              <w:rPr>
                <w:rFonts w:ascii="Arial" w:hAnsi="Arial"/>
                <w:sz w:val="18"/>
                <w:szCs w:val="18"/>
              </w:rPr>
              <w:t>236</w:t>
            </w:r>
            <w:r w:rsidR="0073149F" w:rsidRPr="008F349A">
              <w:rPr>
                <w:rFonts w:ascii="Arial" w:hAnsi="Arial"/>
                <w:sz w:val="18"/>
                <w:szCs w:val="18"/>
              </w:rPr>
              <w:t>.</w:t>
            </w:r>
            <w:r w:rsidRPr="008F349A">
              <w:rPr>
                <w:rFonts w:ascii="Arial" w:hAnsi="Arial"/>
                <w:sz w:val="18"/>
                <w:szCs w:val="18"/>
              </w:rPr>
              <w:t>107</w:t>
            </w:r>
            <w:r w:rsidR="0073149F" w:rsidRPr="008F349A">
              <w:rPr>
                <w:rFonts w:ascii="Arial" w:hAnsi="Arial"/>
                <w:sz w:val="18"/>
                <w:szCs w:val="18"/>
              </w:rPr>
              <w:t xml:space="preserve">,00   </w:t>
            </w:r>
          </w:p>
        </w:tc>
        <w:tc>
          <w:tcPr>
            <w:tcW w:w="1843" w:type="dxa"/>
            <w:tcBorders>
              <w:bottom w:val="single" w:sz="4" w:space="0" w:color="auto"/>
            </w:tcBorders>
            <w:vAlign w:val="center"/>
          </w:tcPr>
          <w:p w:rsidR="0073149F" w:rsidRPr="008F349A" w:rsidRDefault="00C52990" w:rsidP="00D17DDD">
            <w:pPr>
              <w:tabs>
                <w:tab w:val="left" w:pos="1800"/>
              </w:tabs>
              <w:rPr>
                <w:rFonts w:ascii="Arial" w:hAnsi="Arial"/>
                <w:sz w:val="18"/>
                <w:szCs w:val="18"/>
              </w:rPr>
            </w:pPr>
            <w:r w:rsidRPr="008F349A">
              <w:rPr>
                <w:rFonts w:ascii="Arial" w:hAnsi="Arial"/>
                <w:sz w:val="18"/>
                <w:szCs w:val="18"/>
              </w:rPr>
              <w:t>10</w:t>
            </w:r>
            <w:r w:rsidR="0073149F" w:rsidRPr="008F349A">
              <w:rPr>
                <w:rFonts w:ascii="Arial" w:hAnsi="Arial"/>
                <w:sz w:val="18"/>
                <w:szCs w:val="18"/>
              </w:rPr>
              <w:t>.</w:t>
            </w:r>
            <w:r w:rsidR="00D17DDD" w:rsidRPr="008F349A">
              <w:rPr>
                <w:rFonts w:ascii="Arial" w:hAnsi="Arial"/>
                <w:sz w:val="18"/>
                <w:szCs w:val="18"/>
              </w:rPr>
              <w:t>728</w:t>
            </w:r>
            <w:r w:rsidR="0073149F" w:rsidRPr="008F349A">
              <w:rPr>
                <w:rFonts w:ascii="Arial" w:hAnsi="Arial"/>
                <w:sz w:val="18"/>
                <w:szCs w:val="18"/>
              </w:rPr>
              <w:t>.</w:t>
            </w:r>
            <w:r w:rsidR="00D17DDD" w:rsidRPr="008F349A">
              <w:rPr>
                <w:rFonts w:ascii="Arial" w:hAnsi="Arial"/>
                <w:sz w:val="18"/>
                <w:szCs w:val="18"/>
              </w:rPr>
              <w:t>564</w:t>
            </w:r>
            <w:r w:rsidR="0073149F" w:rsidRPr="008F349A">
              <w:rPr>
                <w:rFonts w:ascii="Arial" w:hAnsi="Arial"/>
                <w:sz w:val="18"/>
                <w:szCs w:val="18"/>
              </w:rPr>
              <w:t>.</w:t>
            </w:r>
            <w:r w:rsidR="00D17DDD" w:rsidRPr="008F349A">
              <w:rPr>
                <w:rFonts w:ascii="Arial" w:hAnsi="Arial"/>
                <w:sz w:val="18"/>
                <w:szCs w:val="18"/>
              </w:rPr>
              <w:t>441</w:t>
            </w:r>
            <w:r w:rsidR="0073149F" w:rsidRPr="008F349A">
              <w:rPr>
                <w:rFonts w:ascii="Arial" w:hAnsi="Arial"/>
                <w:sz w:val="18"/>
                <w:szCs w:val="18"/>
              </w:rPr>
              <w:t>,</w:t>
            </w:r>
            <w:r w:rsidRPr="008F349A">
              <w:rPr>
                <w:rFonts w:ascii="Arial" w:hAnsi="Arial"/>
                <w:sz w:val="18"/>
                <w:szCs w:val="18"/>
              </w:rPr>
              <w:t>8</w:t>
            </w:r>
            <w:r w:rsidR="00D17DDD" w:rsidRPr="008F349A">
              <w:rPr>
                <w:rFonts w:ascii="Arial" w:hAnsi="Arial"/>
                <w:sz w:val="18"/>
                <w:szCs w:val="18"/>
              </w:rPr>
              <w:t>1</w:t>
            </w:r>
          </w:p>
        </w:tc>
        <w:tc>
          <w:tcPr>
            <w:tcW w:w="1842" w:type="dxa"/>
            <w:tcBorders>
              <w:bottom w:val="single" w:sz="4" w:space="0" w:color="auto"/>
            </w:tcBorders>
            <w:vAlign w:val="center"/>
          </w:tcPr>
          <w:p w:rsidR="0073149F" w:rsidRPr="008F349A" w:rsidRDefault="0073149F" w:rsidP="00D17DDD">
            <w:pPr>
              <w:tabs>
                <w:tab w:val="left" w:pos="1800"/>
              </w:tabs>
              <w:rPr>
                <w:rFonts w:ascii="Arial" w:hAnsi="Arial"/>
                <w:sz w:val="18"/>
                <w:szCs w:val="18"/>
              </w:rPr>
            </w:pPr>
            <w:r w:rsidRPr="008F349A">
              <w:rPr>
                <w:rFonts w:ascii="Arial" w:hAnsi="Arial"/>
                <w:sz w:val="18"/>
                <w:szCs w:val="18"/>
              </w:rPr>
              <w:t xml:space="preserve"> </w:t>
            </w:r>
            <w:r w:rsidR="00D17DDD" w:rsidRPr="008F349A">
              <w:rPr>
                <w:rFonts w:ascii="Arial" w:hAnsi="Arial"/>
                <w:sz w:val="18"/>
                <w:szCs w:val="18"/>
              </w:rPr>
              <w:t xml:space="preserve">  393</w:t>
            </w:r>
            <w:r w:rsidRPr="008F349A">
              <w:rPr>
                <w:rFonts w:ascii="Arial" w:hAnsi="Arial"/>
                <w:sz w:val="18"/>
                <w:szCs w:val="18"/>
              </w:rPr>
              <w:t>.</w:t>
            </w:r>
            <w:r w:rsidR="00D17DDD" w:rsidRPr="008F349A">
              <w:rPr>
                <w:rFonts w:ascii="Arial" w:hAnsi="Arial"/>
                <w:sz w:val="18"/>
                <w:szCs w:val="18"/>
              </w:rPr>
              <w:t>328</w:t>
            </w:r>
            <w:r w:rsidRPr="008F349A">
              <w:rPr>
                <w:rFonts w:ascii="Arial" w:hAnsi="Arial"/>
                <w:sz w:val="18"/>
                <w:szCs w:val="18"/>
              </w:rPr>
              <w:t>.</w:t>
            </w:r>
            <w:r w:rsidR="00D17DDD" w:rsidRPr="008F349A">
              <w:rPr>
                <w:rFonts w:ascii="Arial" w:hAnsi="Arial"/>
                <w:sz w:val="18"/>
                <w:szCs w:val="18"/>
              </w:rPr>
              <w:t>334</w:t>
            </w:r>
            <w:r w:rsidRPr="008F349A">
              <w:rPr>
                <w:rFonts w:ascii="Arial" w:hAnsi="Arial"/>
                <w:sz w:val="18"/>
                <w:szCs w:val="18"/>
              </w:rPr>
              <w:t>,</w:t>
            </w:r>
            <w:r w:rsidR="001B170A" w:rsidRPr="008F349A">
              <w:rPr>
                <w:rFonts w:ascii="Arial" w:hAnsi="Arial"/>
                <w:sz w:val="18"/>
                <w:szCs w:val="18"/>
              </w:rPr>
              <w:t>8</w:t>
            </w:r>
            <w:r w:rsidR="00D17DDD" w:rsidRPr="008F349A">
              <w:rPr>
                <w:rFonts w:ascii="Arial" w:hAnsi="Arial"/>
                <w:sz w:val="18"/>
                <w:szCs w:val="18"/>
              </w:rPr>
              <w:t>1</w:t>
            </w:r>
          </w:p>
        </w:tc>
        <w:tc>
          <w:tcPr>
            <w:tcW w:w="1134" w:type="dxa"/>
            <w:tcBorders>
              <w:bottom w:val="single" w:sz="4" w:space="0" w:color="auto"/>
            </w:tcBorders>
            <w:vAlign w:val="center"/>
          </w:tcPr>
          <w:p w:rsidR="0073149F" w:rsidRPr="008F349A" w:rsidRDefault="001B170A" w:rsidP="00D17DDD">
            <w:pPr>
              <w:tabs>
                <w:tab w:val="left" w:pos="1800"/>
              </w:tabs>
              <w:jc w:val="center"/>
              <w:rPr>
                <w:rFonts w:ascii="Arial" w:hAnsi="Arial"/>
                <w:sz w:val="18"/>
                <w:szCs w:val="18"/>
              </w:rPr>
            </w:pPr>
            <w:r w:rsidRPr="008F349A">
              <w:rPr>
                <w:rFonts w:ascii="Arial" w:hAnsi="Arial"/>
                <w:sz w:val="18"/>
                <w:szCs w:val="18"/>
              </w:rPr>
              <w:t>3</w:t>
            </w:r>
            <w:r w:rsidR="0073149F" w:rsidRPr="008F349A">
              <w:rPr>
                <w:rFonts w:ascii="Arial" w:hAnsi="Arial"/>
                <w:sz w:val="18"/>
                <w:szCs w:val="18"/>
              </w:rPr>
              <w:t>,</w:t>
            </w:r>
            <w:r w:rsidR="00D17DDD" w:rsidRPr="008F349A">
              <w:rPr>
                <w:rFonts w:ascii="Arial" w:hAnsi="Arial"/>
                <w:sz w:val="18"/>
                <w:szCs w:val="18"/>
              </w:rPr>
              <w:t>81</w:t>
            </w:r>
          </w:p>
        </w:tc>
      </w:tr>
      <w:tr w:rsidR="0073149F" w:rsidRPr="008F349A" w:rsidTr="008F349A">
        <w:tblPrEx>
          <w:tblCellMar>
            <w:top w:w="0" w:type="dxa"/>
            <w:bottom w:w="0" w:type="dxa"/>
          </w:tblCellMar>
        </w:tblPrEx>
        <w:trPr>
          <w:cantSplit/>
          <w:trHeight w:val="827"/>
        </w:trPr>
        <w:tc>
          <w:tcPr>
            <w:tcW w:w="1947" w:type="dxa"/>
          </w:tcPr>
          <w:p w:rsidR="0073149F" w:rsidRPr="008F349A" w:rsidRDefault="0073149F" w:rsidP="00B14A0D">
            <w:pPr>
              <w:tabs>
                <w:tab w:val="left" w:pos="1800"/>
              </w:tabs>
              <w:rPr>
                <w:rFonts w:ascii="Arial" w:hAnsi="Arial"/>
                <w:b/>
                <w:sz w:val="18"/>
                <w:szCs w:val="18"/>
              </w:rPr>
            </w:pPr>
          </w:p>
          <w:p w:rsidR="0073149F" w:rsidRPr="008F349A" w:rsidRDefault="0073149F" w:rsidP="00B14A0D">
            <w:pPr>
              <w:tabs>
                <w:tab w:val="left" w:pos="1800"/>
              </w:tabs>
              <w:rPr>
                <w:rFonts w:ascii="Arial" w:hAnsi="Arial"/>
                <w:b/>
                <w:sz w:val="18"/>
                <w:szCs w:val="18"/>
              </w:rPr>
            </w:pPr>
            <w:r w:rsidRPr="008F349A">
              <w:rPr>
                <w:rFonts w:ascii="Arial" w:hAnsi="Arial"/>
                <w:b/>
                <w:sz w:val="18"/>
                <w:szCs w:val="18"/>
              </w:rPr>
              <w:t>Excédent</w:t>
            </w:r>
          </w:p>
          <w:p w:rsidR="0073149F" w:rsidRPr="008F349A" w:rsidRDefault="0073149F" w:rsidP="0073149F">
            <w:pPr>
              <w:tabs>
                <w:tab w:val="left" w:pos="1800"/>
              </w:tabs>
              <w:rPr>
                <w:rFonts w:ascii="Arial" w:hAnsi="Arial"/>
                <w:b/>
                <w:sz w:val="18"/>
                <w:szCs w:val="18"/>
              </w:rPr>
            </w:pPr>
            <w:r w:rsidRPr="008F349A">
              <w:rPr>
                <w:rFonts w:ascii="Arial" w:hAnsi="Arial"/>
                <w:b/>
                <w:sz w:val="18"/>
                <w:szCs w:val="18"/>
              </w:rPr>
              <w:t>de recettes</w:t>
            </w:r>
            <w:r w:rsidR="00D17DDD" w:rsidRPr="008F349A">
              <w:rPr>
                <w:rFonts w:ascii="Arial" w:hAnsi="Arial"/>
                <w:b/>
                <w:sz w:val="18"/>
                <w:szCs w:val="18"/>
              </w:rPr>
              <w:t xml:space="preserve"> </w:t>
            </w:r>
            <w:r w:rsidRPr="008F349A">
              <w:rPr>
                <w:rFonts w:ascii="Arial" w:hAnsi="Arial"/>
                <w:b/>
                <w:sz w:val="18"/>
                <w:szCs w:val="18"/>
              </w:rPr>
              <w:t>(1)-(2)</w:t>
            </w:r>
          </w:p>
          <w:p w:rsidR="00286D50" w:rsidRPr="008F349A" w:rsidRDefault="00286D50" w:rsidP="0073149F">
            <w:pPr>
              <w:tabs>
                <w:tab w:val="left" w:pos="1800"/>
              </w:tabs>
              <w:rPr>
                <w:rFonts w:ascii="Arial" w:hAnsi="Arial"/>
                <w:b/>
                <w:sz w:val="18"/>
                <w:szCs w:val="18"/>
              </w:rPr>
            </w:pPr>
          </w:p>
        </w:tc>
        <w:tc>
          <w:tcPr>
            <w:tcW w:w="2126" w:type="dxa"/>
            <w:gridSpan w:val="2"/>
          </w:tcPr>
          <w:p w:rsidR="0073149F" w:rsidRPr="008F349A" w:rsidRDefault="0073149F" w:rsidP="00B14A0D">
            <w:pPr>
              <w:tabs>
                <w:tab w:val="left" w:pos="1800"/>
              </w:tabs>
              <w:rPr>
                <w:rFonts w:ascii="Arial" w:hAnsi="Arial"/>
                <w:b/>
                <w:sz w:val="18"/>
                <w:szCs w:val="18"/>
              </w:rPr>
            </w:pPr>
          </w:p>
          <w:p w:rsidR="0073149F" w:rsidRPr="008F349A" w:rsidRDefault="0073149F" w:rsidP="00B14A0D">
            <w:pPr>
              <w:tabs>
                <w:tab w:val="left" w:pos="1800"/>
              </w:tabs>
              <w:rPr>
                <w:rFonts w:ascii="Arial" w:hAnsi="Arial"/>
                <w:b/>
                <w:sz w:val="18"/>
                <w:szCs w:val="18"/>
              </w:rPr>
            </w:pPr>
          </w:p>
          <w:p w:rsidR="0073149F" w:rsidRPr="008F349A" w:rsidRDefault="00D17DDD" w:rsidP="00D17DDD">
            <w:pPr>
              <w:tabs>
                <w:tab w:val="left" w:pos="1800"/>
              </w:tabs>
              <w:jc w:val="center"/>
              <w:rPr>
                <w:rFonts w:ascii="Arial" w:hAnsi="Arial"/>
                <w:b/>
                <w:sz w:val="18"/>
                <w:szCs w:val="18"/>
              </w:rPr>
            </w:pPr>
            <w:r w:rsidRPr="008F349A">
              <w:rPr>
                <w:rFonts w:ascii="Arial" w:hAnsi="Arial"/>
                <w:b/>
                <w:sz w:val="18"/>
                <w:szCs w:val="18"/>
              </w:rPr>
              <w:t>- 709</w:t>
            </w:r>
            <w:r w:rsidR="0071462E" w:rsidRPr="008F349A">
              <w:rPr>
                <w:rFonts w:ascii="Arial" w:hAnsi="Arial"/>
                <w:b/>
                <w:sz w:val="18"/>
                <w:szCs w:val="18"/>
              </w:rPr>
              <w:t>.</w:t>
            </w:r>
            <w:r w:rsidRPr="008F349A">
              <w:rPr>
                <w:rFonts w:ascii="Arial" w:hAnsi="Arial"/>
                <w:b/>
                <w:sz w:val="18"/>
                <w:szCs w:val="18"/>
              </w:rPr>
              <w:t>061</w:t>
            </w:r>
            <w:r w:rsidR="0073149F" w:rsidRPr="008F349A">
              <w:rPr>
                <w:rFonts w:ascii="Arial" w:hAnsi="Arial"/>
                <w:b/>
                <w:sz w:val="18"/>
                <w:szCs w:val="18"/>
              </w:rPr>
              <w:t>.</w:t>
            </w:r>
            <w:r w:rsidRPr="008F349A">
              <w:rPr>
                <w:rFonts w:ascii="Arial" w:hAnsi="Arial"/>
                <w:b/>
                <w:sz w:val="18"/>
                <w:szCs w:val="18"/>
              </w:rPr>
              <w:t>627</w:t>
            </w:r>
            <w:r w:rsidR="0073149F" w:rsidRPr="008F349A">
              <w:rPr>
                <w:rFonts w:ascii="Arial" w:hAnsi="Arial"/>
                <w:b/>
                <w:sz w:val="18"/>
                <w:szCs w:val="18"/>
              </w:rPr>
              <w:t>,00</w:t>
            </w:r>
          </w:p>
        </w:tc>
        <w:tc>
          <w:tcPr>
            <w:tcW w:w="1843" w:type="dxa"/>
          </w:tcPr>
          <w:p w:rsidR="0073149F" w:rsidRPr="008F349A" w:rsidRDefault="0073149F" w:rsidP="00B14A0D">
            <w:pPr>
              <w:tabs>
                <w:tab w:val="left" w:pos="1800"/>
              </w:tabs>
              <w:rPr>
                <w:rFonts w:ascii="Arial" w:hAnsi="Arial"/>
                <w:b/>
                <w:sz w:val="18"/>
                <w:szCs w:val="18"/>
              </w:rPr>
            </w:pPr>
          </w:p>
          <w:p w:rsidR="0073149F" w:rsidRPr="008F349A" w:rsidRDefault="0073149F" w:rsidP="00B14A0D">
            <w:pPr>
              <w:tabs>
                <w:tab w:val="left" w:pos="1800"/>
              </w:tabs>
              <w:rPr>
                <w:rFonts w:ascii="Arial" w:hAnsi="Arial"/>
                <w:b/>
                <w:sz w:val="18"/>
                <w:szCs w:val="18"/>
              </w:rPr>
            </w:pPr>
          </w:p>
          <w:p w:rsidR="00286D50" w:rsidRPr="008F349A" w:rsidRDefault="0073149F" w:rsidP="00B14A0D">
            <w:pPr>
              <w:tabs>
                <w:tab w:val="left" w:pos="1800"/>
              </w:tabs>
              <w:rPr>
                <w:rFonts w:ascii="Arial" w:hAnsi="Arial"/>
                <w:b/>
                <w:sz w:val="18"/>
                <w:szCs w:val="18"/>
              </w:rPr>
            </w:pPr>
            <w:r w:rsidRPr="008F349A">
              <w:rPr>
                <w:rFonts w:ascii="Arial" w:hAnsi="Arial"/>
                <w:b/>
                <w:sz w:val="18"/>
                <w:szCs w:val="18"/>
              </w:rPr>
              <w:t xml:space="preserve">   </w:t>
            </w:r>
            <w:r w:rsidR="00D51A04" w:rsidRPr="008F349A">
              <w:rPr>
                <w:rFonts w:ascii="Arial" w:hAnsi="Arial"/>
                <w:b/>
                <w:sz w:val="18"/>
                <w:szCs w:val="18"/>
              </w:rPr>
              <w:t xml:space="preserve">  </w:t>
            </w:r>
            <w:r w:rsidR="008F349A" w:rsidRPr="008F349A">
              <w:rPr>
                <w:rFonts w:ascii="Arial" w:hAnsi="Arial"/>
                <w:b/>
                <w:sz w:val="18"/>
                <w:szCs w:val="18"/>
              </w:rPr>
              <w:t>-361</w:t>
            </w:r>
            <w:r w:rsidRPr="008F349A">
              <w:rPr>
                <w:rFonts w:ascii="Arial" w:hAnsi="Arial"/>
                <w:b/>
                <w:sz w:val="18"/>
                <w:szCs w:val="18"/>
              </w:rPr>
              <w:t>.</w:t>
            </w:r>
            <w:r w:rsidR="008F349A" w:rsidRPr="008F349A">
              <w:rPr>
                <w:rFonts w:ascii="Arial" w:hAnsi="Arial"/>
                <w:b/>
                <w:sz w:val="18"/>
                <w:szCs w:val="18"/>
              </w:rPr>
              <w:t>218</w:t>
            </w:r>
            <w:r w:rsidRPr="008F349A">
              <w:rPr>
                <w:rFonts w:ascii="Arial" w:hAnsi="Arial"/>
                <w:b/>
                <w:sz w:val="18"/>
                <w:szCs w:val="18"/>
              </w:rPr>
              <w:t>.</w:t>
            </w:r>
            <w:r w:rsidR="008F349A" w:rsidRPr="008F349A">
              <w:rPr>
                <w:rFonts w:ascii="Arial" w:hAnsi="Arial"/>
                <w:b/>
                <w:sz w:val="18"/>
                <w:szCs w:val="18"/>
              </w:rPr>
              <w:t>481</w:t>
            </w:r>
            <w:r w:rsidRPr="008F349A">
              <w:rPr>
                <w:rFonts w:ascii="Arial" w:hAnsi="Arial"/>
                <w:b/>
                <w:sz w:val="18"/>
                <w:szCs w:val="18"/>
              </w:rPr>
              <w:t>,</w:t>
            </w:r>
            <w:r w:rsidR="008F349A" w:rsidRPr="008F349A">
              <w:rPr>
                <w:rFonts w:ascii="Arial" w:hAnsi="Arial"/>
                <w:b/>
                <w:sz w:val="18"/>
                <w:szCs w:val="18"/>
              </w:rPr>
              <w:t>2</w:t>
            </w:r>
            <w:r w:rsidR="001B170A" w:rsidRPr="008F349A">
              <w:rPr>
                <w:rFonts w:ascii="Arial" w:hAnsi="Arial"/>
                <w:b/>
                <w:sz w:val="18"/>
                <w:szCs w:val="18"/>
              </w:rPr>
              <w:t>1</w:t>
            </w:r>
          </w:p>
          <w:p w:rsidR="00286D50" w:rsidRPr="008F349A" w:rsidRDefault="00286D50" w:rsidP="00B14A0D">
            <w:pPr>
              <w:tabs>
                <w:tab w:val="left" w:pos="1800"/>
              </w:tabs>
              <w:rPr>
                <w:rFonts w:ascii="Arial" w:hAnsi="Arial"/>
                <w:b/>
                <w:sz w:val="18"/>
                <w:szCs w:val="18"/>
              </w:rPr>
            </w:pPr>
          </w:p>
          <w:p w:rsidR="0073149F" w:rsidRPr="008F349A" w:rsidRDefault="0073149F" w:rsidP="00286D50">
            <w:pPr>
              <w:tabs>
                <w:tab w:val="left" w:pos="1800"/>
              </w:tabs>
              <w:rPr>
                <w:rFonts w:ascii="Arial" w:hAnsi="Arial"/>
                <w:b/>
                <w:sz w:val="18"/>
                <w:szCs w:val="18"/>
              </w:rPr>
            </w:pPr>
          </w:p>
        </w:tc>
        <w:tc>
          <w:tcPr>
            <w:tcW w:w="1842" w:type="dxa"/>
          </w:tcPr>
          <w:p w:rsidR="0073149F" w:rsidRPr="008F349A" w:rsidRDefault="0073149F" w:rsidP="00B14A0D">
            <w:pPr>
              <w:tabs>
                <w:tab w:val="left" w:pos="1800"/>
              </w:tabs>
              <w:rPr>
                <w:rFonts w:ascii="Arial" w:hAnsi="Arial"/>
                <w:b/>
                <w:sz w:val="18"/>
                <w:szCs w:val="18"/>
              </w:rPr>
            </w:pPr>
          </w:p>
          <w:p w:rsidR="0073149F" w:rsidRPr="008F349A" w:rsidRDefault="0073149F" w:rsidP="00B14A0D">
            <w:pPr>
              <w:tabs>
                <w:tab w:val="left" w:pos="1800"/>
              </w:tabs>
              <w:rPr>
                <w:rFonts w:ascii="Arial" w:hAnsi="Arial"/>
                <w:b/>
                <w:sz w:val="18"/>
                <w:szCs w:val="18"/>
              </w:rPr>
            </w:pPr>
          </w:p>
          <w:p w:rsidR="0073149F" w:rsidRPr="008F349A" w:rsidRDefault="0073149F" w:rsidP="00B14A0D">
            <w:pPr>
              <w:tabs>
                <w:tab w:val="left" w:pos="1800"/>
              </w:tabs>
              <w:rPr>
                <w:rFonts w:ascii="Arial" w:hAnsi="Arial"/>
                <w:b/>
                <w:sz w:val="18"/>
                <w:szCs w:val="18"/>
              </w:rPr>
            </w:pPr>
            <w:r w:rsidRPr="008F349A">
              <w:rPr>
                <w:rFonts w:ascii="Arial" w:hAnsi="Arial"/>
                <w:b/>
                <w:sz w:val="18"/>
                <w:szCs w:val="18"/>
              </w:rPr>
              <w:t xml:space="preserve">  </w:t>
            </w:r>
            <w:r w:rsidR="00D51A04" w:rsidRPr="008F349A">
              <w:rPr>
                <w:rFonts w:ascii="Arial" w:hAnsi="Arial"/>
                <w:b/>
                <w:sz w:val="18"/>
                <w:szCs w:val="18"/>
              </w:rPr>
              <w:t xml:space="preserve">  </w:t>
            </w:r>
            <w:r w:rsidR="008F349A" w:rsidRPr="008F349A">
              <w:rPr>
                <w:rFonts w:ascii="Arial" w:hAnsi="Arial"/>
                <w:b/>
                <w:sz w:val="18"/>
                <w:szCs w:val="18"/>
              </w:rPr>
              <w:t>347</w:t>
            </w:r>
            <w:r w:rsidRPr="008F349A">
              <w:rPr>
                <w:rFonts w:ascii="Arial" w:hAnsi="Arial"/>
                <w:b/>
                <w:sz w:val="18"/>
                <w:szCs w:val="18"/>
              </w:rPr>
              <w:t>.</w:t>
            </w:r>
            <w:r w:rsidR="008F349A" w:rsidRPr="008F349A">
              <w:rPr>
                <w:rFonts w:ascii="Arial" w:hAnsi="Arial"/>
                <w:b/>
                <w:sz w:val="18"/>
                <w:szCs w:val="18"/>
              </w:rPr>
              <w:t>843</w:t>
            </w:r>
            <w:r w:rsidRPr="008F349A">
              <w:rPr>
                <w:rFonts w:ascii="Arial" w:hAnsi="Arial"/>
                <w:b/>
                <w:sz w:val="18"/>
                <w:szCs w:val="18"/>
              </w:rPr>
              <w:t>.</w:t>
            </w:r>
            <w:r w:rsidR="008F349A" w:rsidRPr="008F349A">
              <w:rPr>
                <w:rFonts w:ascii="Arial" w:hAnsi="Arial"/>
                <w:b/>
                <w:sz w:val="18"/>
                <w:szCs w:val="18"/>
              </w:rPr>
              <w:t>145</w:t>
            </w:r>
            <w:r w:rsidRPr="008F349A">
              <w:rPr>
                <w:rFonts w:ascii="Arial" w:hAnsi="Arial"/>
                <w:b/>
                <w:sz w:val="18"/>
                <w:szCs w:val="18"/>
              </w:rPr>
              <w:t>,</w:t>
            </w:r>
            <w:r w:rsidR="008F349A" w:rsidRPr="008F349A">
              <w:rPr>
                <w:rFonts w:ascii="Arial" w:hAnsi="Arial"/>
                <w:b/>
                <w:sz w:val="18"/>
                <w:szCs w:val="18"/>
              </w:rPr>
              <w:t>79</w:t>
            </w:r>
          </w:p>
          <w:p w:rsidR="0073149F" w:rsidRPr="008F349A" w:rsidRDefault="0073149F" w:rsidP="00B14A0D">
            <w:pPr>
              <w:tabs>
                <w:tab w:val="left" w:pos="1800"/>
              </w:tabs>
              <w:rPr>
                <w:rFonts w:ascii="Arial" w:hAnsi="Arial"/>
                <w:b/>
                <w:sz w:val="18"/>
                <w:szCs w:val="18"/>
              </w:rPr>
            </w:pPr>
          </w:p>
        </w:tc>
        <w:tc>
          <w:tcPr>
            <w:tcW w:w="1134" w:type="dxa"/>
          </w:tcPr>
          <w:p w:rsidR="0073149F" w:rsidRPr="008F349A" w:rsidRDefault="0073149F" w:rsidP="00B14A0D">
            <w:pPr>
              <w:tabs>
                <w:tab w:val="left" w:pos="1800"/>
              </w:tabs>
              <w:rPr>
                <w:rFonts w:ascii="Arial" w:hAnsi="Arial"/>
                <w:b/>
                <w:sz w:val="18"/>
                <w:szCs w:val="18"/>
              </w:rPr>
            </w:pPr>
          </w:p>
          <w:p w:rsidR="0073149F" w:rsidRPr="008F349A" w:rsidRDefault="0073149F" w:rsidP="00B14A0D">
            <w:pPr>
              <w:tabs>
                <w:tab w:val="left" w:pos="1800"/>
              </w:tabs>
              <w:rPr>
                <w:rFonts w:ascii="Arial" w:hAnsi="Arial"/>
                <w:b/>
                <w:sz w:val="18"/>
                <w:szCs w:val="18"/>
              </w:rPr>
            </w:pPr>
          </w:p>
          <w:p w:rsidR="0073149F" w:rsidRPr="008F349A" w:rsidRDefault="0073149F" w:rsidP="00B14A0D">
            <w:pPr>
              <w:tabs>
                <w:tab w:val="left" w:pos="1800"/>
              </w:tabs>
              <w:rPr>
                <w:rFonts w:ascii="Arial" w:hAnsi="Arial"/>
                <w:b/>
                <w:sz w:val="18"/>
                <w:szCs w:val="18"/>
              </w:rPr>
            </w:pPr>
          </w:p>
        </w:tc>
      </w:tr>
      <w:tr w:rsidR="0073149F" w:rsidRPr="00B26466" w:rsidTr="0073149F">
        <w:tblPrEx>
          <w:tblCellMar>
            <w:top w:w="0" w:type="dxa"/>
            <w:bottom w:w="0" w:type="dxa"/>
          </w:tblCellMar>
        </w:tblPrEx>
        <w:trPr>
          <w:gridAfter w:val="4"/>
          <w:wAfter w:w="6634" w:type="dxa"/>
          <w:cantSplit/>
          <w:trHeight w:val="299"/>
        </w:trPr>
        <w:tc>
          <w:tcPr>
            <w:tcW w:w="2258" w:type="dxa"/>
            <w:gridSpan w:val="2"/>
            <w:tcBorders>
              <w:left w:val="nil"/>
              <w:bottom w:val="nil"/>
              <w:right w:val="nil"/>
            </w:tcBorders>
          </w:tcPr>
          <w:p w:rsidR="0073149F" w:rsidRPr="00B26466" w:rsidRDefault="0073149F" w:rsidP="00B14A0D">
            <w:pPr>
              <w:tabs>
                <w:tab w:val="left" w:pos="1800"/>
              </w:tabs>
              <w:rPr>
                <w:rFonts w:ascii="Arial" w:hAnsi="Arial"/>
                <w:color w:val="0070C0"/>
                <w:sz w:val="18"/>
                <w:szCs w:val="18"/>
              </w:rPr>
            </w:pPr>
          </w:p>
        </w:tc>
      </w:tr>
    </w:tbl>
    <w:p w:rsidR="00653CA7" w:rsidRPr="00B26466" w:rsidRDefault="00653CA7" w:rsidP="00EF257C">
      <w:pPr>
        <w:autoSpaceDE w:val="0"/>
        <w:autoSpaceDN w:val="0"/>
        <w:adjustRightInd w:val="0"/>
        <w:jc w:val="both"/>
        <w:rPr>
          <w:color w:val="0070C0"/>
        </w:rPr>
      </w:pPr>
    </w:p>
    <w:p w:rsidR="00286D50" w:rsidRDefault="00286D50" w:rsidP="00EF257C">
      <w:pPr>
        <w:autoSpaceDE w:val="0"/>
        <w:autoSpaceDN w:val="0"/>
        <w:adjustRightInd w:val="0"/>
        <w:jc w:val="both"/>
      </w:pPr>
      <w:r w:rsidRPr="00807C81">
        <w:t>Le compte général de l'exercice 201</w:t>
      </w:r>
      <w:r w:rsidR="00807C81" w:rsidRPr="00807C81">
        <w:t>1</w:t>
      </w:r>
      <w:r w:rsidRPr="00807C81">
        <w:t xml:space="preserve"> est clôturé </w:t>
      </w:r>
      <w:r w:rsidRPr="00E97EB1">
        <w:t xml:space="preserve">avec un </w:t>
      </w:r>
      <w:r w:rsidRPr="00E97EB1">
        <w:rPr>
          <w:u w:val="single"/>
        </w:rPr>
        <w:t>excédent de</w:t>
      </w:r>
      <w:r w:rsidR="000C6B82">
        <w:rPr>
          <w:u w:val="single"/>
        </w:rPr>
        <w:t xml:space="preserve"> dépenses de </w:t>
      </w:r>
      <w:r w:rsidR="00E97EB1" w:rsidRPr="00E97EB1">
        <w:rPr>
          <w:u w:val="single"/>
        </w:rPr>
        <w:t>3</w:t>
      </w:r>
      <w:r w:rsidR="000C6B82">
        <w:rPr>
          <w:u w:val="single"/>
        </w:rPr>
        <w:t>6</w:t>
      </w:r>
      <w:r w:rsidR="00E97EB1" w:rsidRPr="00E97EB1">
        <w:rPr>
          <w:u w:val="single"/>
        </w:rPr>
        <w:t>1,2 millions d’euros</w:t>
      </w:r>
      <w:r w:rsidR="00E97EB1" w:rsidRPr="00E97EB1">
        <w:t xml:space="preserve">, alors que le budget définitif </w:t>
      </w:r>
      <w:r w:rsidR="00C016CA">
        <w:t>prévoy</w:t>
      </w:r>
      <w:r w:rsidR="00E97EB1" w:rsidRPr="00E97EB1">
        <w:t>ait un déficit de 709,1 millions d’euros</w:t>
      </w:r>
      <w:r w:rsidRPr="00E97EB1">
        <w:t xml:space="preserve">. </w:t>
      </w:r>
    </w:p>
    <w:p w:rsidR="00E97EB1" w:rsidRPr="00AC0607" w:rsidRDefault="00E97EB1" w:rsidP="00EF257C">
      <w:pPr>
        <w:autoSpaceDE w:val="0"/>
        <w:autoSpaceDN w:val="0"/>
        <w:adjustRightInd w:val="0"/>
        <w:jc w:val="both"/>
      </w:pPr>
    </w:p>
    <w:p w:rsidR="003264F1" w:rsidRPr="002F11AE" w:rsidRDefault="00AC1774" w:rsidP="003264F1">
      <w:pPr>
        <w:autoSpaceDE w:val="0"/>
        <w:autoSpaceDN w:val="0"/>
        <w:adjustRightInd w:val="0"/>
        <w:jc w:val="both"/>
      </w:pPr>
      <w:r w:rsidRPr="002F11AE">
        <w:t xml:space="preserve">Les </w:t>
      </w:r>
      <w:r w:rsidRPr="002F11AE">
        <w:rPr>
          <w:u w:val="single"/>
        </w:rPr>
        <w:t>recettes courantes</w:t>
      </w:r>
      <w:r w:rsidRPr="002F11AE">
        <w:t xml:space="preserve"> présentent une </w:t>
      </w:r>
      <w:r w:rsidR="00285535" w:rsidRPr="002F11AE">
        <w:rPr>
          <w:u w:val="single"/>
        </w:rPr>
        <w:t>plus</w:t>
      </w:r>
      <w:r w:rsidRPr="002F11AE">
        <w:rPr>
          <w:u w:val="single"/>
        </w:rPr>
        <w:t xml:space="preserve">-value de </w:t>
      </w:r>
      <w:r w:rsidR="002F11AE" w:rsidRPr="002F11AE">
        <w:rPr>
          <w:u w:val="single"/>
        </w:rPr>
        <w:t>7</w:t>
      </w:r>
      <w:r w:rsidRPr="002F11AE">
        <w:rPr>
          <w:u w:val="single"/>
        </w:rPr>
        <w:t>,</w:t>
      </w:r>
      <w:r w:rsidR="002F11AE" w:rsidRPr="002F11AE">
        <w:rPr>
          <w:u w:val="single"/>
        </w:rPr>
        <w:t>53</w:t>
      </w:r>
      <w:r w:rsidRPr="002F11AE">
        <w:rPr>
          <w:u w:val="single"/>
        </w:rPr>
        <w:t>%</w:t>
      </w:r>
      <w:r w:rsidRPr="002F11AE">
        <w:t xml:space="preserve"> </w:t>
      </w:r>
      <w:r w:rsidR="002F11AE" w:rsidRPr="002F11AE">
        <w:t xml:space="preserve">(11,38% en 2010) </w:t>
      </w:r>
      <w:r w:rsidRPr="002F11AE">
        <w:t>par rapport aux prévisions.</w:t>
      </w:r>
      <w:r w:rsidR="00BC2476">
        <w:t xml:space="preserve"> </w:t>
      </w:r>
    </w:p>
    <w:p w:rsidR="003264F1" w:rsidRDefault="003264F1" w:rsidP="00EF257C">
      <w:pPr>
        <w:autoSpaceDE w:val="0"/>
        <w:autoSpaceDN w:val="0"/>
        <w:adjustRightInd w:val="0"/>
        <w:jc w:val="both"/>
        <w:rPr>
          <w:color w:val="0070C0"/>
        </w:rPr>
      </w:pPr>
    </w:p>
    <w:p w:rsidR="00EF257C" w:rsidRPr="007300B9" w:rsidRDefault="00EF257C" w:rsidP="00EF257C">
      <w:pPr>
        <w:autoSpaceDE w:val="0"/>
        <w:autoSpaceDN w:val="0"/>
        <w:adjustRightInd w:val="0"/>
        <w:jc w:val="both"/>
      </w:pPr>
      <w:r w:rsidRPr="007300B9">
        <w:t xml:space="preserve">Les </w:t>
      </w:r>
      <w:r w:rsidRPr="007300B9">
        <w:rPr>
          <w:u w:val="single"/>
        </w:rPr>
        <w:t>dépenses courantes et en capital</w:t>
      </w:r>
      <w:r w:rsidRPr="007300B9">
        <w:t xml:space="preserve"> effectives </w:t>
      </w:r>
      <w:r w:rsidRPr="007300B9">
        <w:rPr>
          <w:u w:val="single"/>
        </w:rPr>
        <w:t xml:space="preserve">dépassent de </w:t>
      </w:r>
      <w:r w:rsidR="00FF447F" w:rsidRPr="007300B9">
        <w:rPr>
          <w:u w:val="single"/>
        </w:rPr>
        <w:t>3</w:t>
      </w:r>
      <w:r w:rsidRPr="007300B9">
        <w:rPr>
          <w:u w:val="single"/>
        </w:rPr>
        <w:t>,</w:t>
      </w:r>
      <w:r w:rsidR="007300B9" w:rsidRPr="007300B9">
        <w:rPr>
          <w:u w:val="single"/>
        </w:rPr>
        <w:t>81</w:t>
      </w:r>
      <w:r w:rsidRPr="007300B9">
        <w:rPr>
          <w:u w:val="single"/>
        </w:rPr>
        <w:t>% le total des dépenses prévues</w:t>
      </w:r>
      <w:r w:rsidRPr="007300B9">
        <w:t xml:space="preserve"> pour 20</w:t>
      </w:r>
      <w:r w:rsidR="00FF447F" w:rsidRPr="007300B9">
        <w:t>1</w:t>
      </w:r>
      <w:r w:rsidR="007300B9" w:rsidRPr="007300B9">
        <w:t>1</w:t>
      </w:r>
      <w:r w:rsidR="00C45112" w:rsidRPr="007300B9">
        <w:t xml:space="preserve"> (cette évolution était de </w:t>
      </w:r>
      <w:r w:rsidR="007300B9" w:rsidRPr="007300B9">
        <w:t>3</w:t>
      </w:r>
      <w:r w:rsidR="00C45112" w:rsidRPr="007300B9">
        <w:t>,</w:t>
      </w:r>
      <w:r w:rsidR="007300B9" w:rsidRPr="007300B9">
        <w:t>24</w:t>
      </w:r>
      <w:r w:rsidR="00C45112" w:rsidRPr="007300B9">
        <w:t>% en 20</w:t>
      </w:r>
      <w:r w:rsidR="007300B9" w:rsidRPr="007300B9">
        <w:t>10</w:t>
      </w:r>
      <w:r w:rsidR="00C45112" w:rsidRPr="007300B9">
        <w:t>)</w:t>
      </w:r>
      <w:r w:rsidRPr="007300B9">
        <w:t xml:space="preserve">. En valeur absolue, cet écart correspond à </w:t>
      </w:r>
      <w:r w:rsidR="00FF447F" w:rsidRPr="007300B9">
        <w:t>3</w:t>
      </w:r>
      <w:r w:rsidR="007300B9" w:rsidRPr="007300B9">
        <w:t>93</w:t>
      </w:r>
      <w:r w:rsidRPr="007300B9">
        <w:t xml:space="preserve"> millions d’euros. </w:t>
      </w:r>
    </w:p>
    <w:p w:rsidR="00EF257C" w:rsidRPr="00B26466" w:rsidRDefault="00EF257C" w:rsidP="00EF257C">
      <w:pPr>
        <w:autoSpaceDE w:val="0"/>
        <w:autoSpaceDN w:val="0"/>
        <w:adjustRightInd w:val="0"/>
        <w:jc w:val="both"/>
        <w:rPr>
          <w:color w:val="0070C0"/>
        </w:rPr>
      </w:pPr>
    </w:p>
    <w:p w:rsidR="00BD4165" w:rsidRDefault="00043136" w:rsidP="00E46C0B">
      <w:pPr>
        <w:adjustRightInd w:val="0"/>
        <w:jc w:val="both"/>
        <w:rPr>
          <w:rFonts w:ascii="Times-Roman" w:hAnsi="Times-Roman" w:cs="Times-Roman"/>
        </w:rPr>
      </w:pPr>
      <w:r>
        <w:rPr>
          <w:rFonts w:ascii="Times-Roman" w:hAnsi="Times-Roman" w:cs="Times-Roman"/>
        </w:rPr>
        <w:t>L</w:t>
      </w:r>
      <w:r w:rsidR="00052E31">
        <w:rPr>
          <w:rFonts w:ascii="Times-Roman" w:hAnsi="Times-Roman" w:cs="Times-Roman"/>
        </w:rPr>
        <w:t>es conclusions et recommandations formulées par la Commission du Contrôle de l’exécution budgétaire dans les différents chapitres d</w:t>
      </w:r>
      <w:r>
        <w:rPr>
          <w:rFonts w:ascii="Times-Roman" w:hAnsi="Times-Roman" w:cs="Times-Roman"/>
        </w:rPr>
        <w:t xml:space="preserve">e son </w:t>
      </w:r>
      <w:r w:rsidR="00052E31">
        <w:rPr>
          <w:rFonts w:ascii="Times-Roman" w:hAnsi="Times-Roman" w:cs="Times-Roman"/>
        </w:rPr>
        <w:t>rapport </w:t>
      </w:r>
      <w:r>
        <w:rPr>
          <w:rFonts w:ascii="Times-Roman" w:hAnsi="Times-Roman" w:cs="Times-Roman"/>
        </w:rPr>
        <w:t>sont les suivantes</w:t>
      </w:r>
      <w:r w:rsidR="00052E31">
        <w:rPr>
          <w:rFonts w:ascii="Times-Roman" w:hAnsi="Times-Roman" w:cs="Times-Roman"/>
        </w:rPr>
        <w:t>:</w:t>
      </w:r>
    </w:p>
    <w:p w:rsidR="00052E31" w:rsidRPr="00043136" w:rsidRDefault="00052E31" w:rsidP="00052E31">
      <w:pPr>
        <w:autoSpaceDE w:val="0"/>
        <w:autoSpaceDN w:val="0"/>
        <w:adjustRightInd w:val="0"/>
        <w:jc w:val="both"/>
      </w:pPr>
    </w:p>
    <w:p w:rsidR="00052E31" w:rsidRPr="0052216C" w:rsidRDefault="00052E31" w:rsidP="0052216C">
      <w:pPr>
        <w:numPr>
          <w:ilvl w:val="0"/>
          <w:numId w:val="19"/>
        </w:numPr>
        <w:tabs>
          <w:tab w:val="clear" w:pos="2988"/>
          <w:tab w:val="num" w:pos="284"/>
        </w:tabs>
        <w:autoSpaceDE w:val="0"/>
        <w:autoSpaceDN w:val="0"/>
        <w:adjustRightInd w:val="0"/>
        <w:ind w:left="284" w:hanging="284"/>
        <w:jc w:val="both"/>
        <w:rPr>
          <w:lang w:val="fr-LU"/>
        </w:rPr>
      </w:pPr>
      <w:r w:rsidRPr="0052216C">
        <w:rPr>
          <w:lang w:val="fr-LU"/>
        </w:rPr>
        <w:t xml:space="preserve">Quant au déséquilibre du budget pour ordre, </w:t>
      </w:r>
      <w:r w:rsidRPr="00483A4D">
        <w:rPr>
          <w:u w:val="single"/>
          <w:lang w:val="fr-LU"/>
        </w:rPr>
        <w:t>la Commission invite de nouveau le Gouvernement à trouv</w:t>
      </w:r>
      <w:r w:rsidR="0052216C" w:rsidRPr="00483A4D">
        <w:rPr>
          <w:u w:val="single"/>
          <w:lang w:val="fr-LU"/>
        </w:rPr>
        <w:t xml:space="preserve">er une solution aux difficultés </w:t>
      </w:r>
      <w:r w:rsidRPr="00483A4D">
        <w:rPr>
          <w:u w:val="single"/>
          <w:lang w:val="fr-LU"/>
        </w:rPr>
        <w:t>techniques à opérer les reports d’excédents de recettes</w:t>
      </w:r>
      <w:r w:rsidRPr="0052216C">
        <w:rPr>
          <w:lang w:val="fr-LU"/>
        </w:rPr>
        <w:t xml:space="preserve"> ou à envisager, le cas échéant, une modification de la loi modifiée du 8 juin 1999 sur le budget, la comptabilité et la trésorerie de l’Etat. Le Conseil d’Etat exprime d’ailleurs le même souhait dans son avis (voir point IV du présent rapport).</w:t>
      </w:r>
    </w:p>
    <w:p w:rsidR="00052E31" w:rsidRPr="0052216C" w:rsidRDefault="00052E31" w:rsidP="00052E31">
      <w:pPr>
        <w:autoSpaceDE w:val="0"/>
        <w:autoSpaceDN w:val="0"/>
        <w:adjustRightInd w:val="0"/>
        <w:jc w:val="both"/>
        <w:rPr>
          <w:color w:val="0070C0"/>
          <w:lang w:val="fr-LU"/>
        </w:rPr>
      </w:pPr>
    </w:p>
    <w:p w:rsidR="0052216C" w:rsidRPr="00483A4D" w:rsidRDefault="0052216C" w:rsidP="0052216C">
      <w:pPr>
        <w:numPr>
          <w:ilvl w:val="0"/>
          <w:numId w:val="19"/>
        </w:numPr>
        <w:tabs>
          <w:tab w:val="clear" w:pos="2988"/>
          <w:tab w:val="num" w:pos="284"/>
        </w:tabs>
        <w:autoSpaceDE w:val="0"/>
        <w:autoSpaceDN w:val="0"/>
        <w:adjustRightInd w:val="0"/>
        <w:ind w:left="284" w:hanging="284"/>
        <w:jc w:val="both"/>
        <w:rPr>
          <w:u w:val="single"/>
          <w:lang w:val="fr-LU" w:eastAsia="fr-LU"/>
        </w:rPr>
      </w:pPr>
      <w:r w:rsidRPr="0052216C">
        <w:rPr>
          <w:lang w:val="fr-LU" w:eastAsia="fr-LU"/>
        </w:rPr>
        <w:t xml:space="preserve">La Commission réitère son souhait, déjà exprimé lors du rapport sur le compte général de l’exercice 2010, qu’à l’avenir la </w:t>
      </w:r>
      <w:r w:rsidRPr="00483A4D">
        <w:rPr>
          <w:u w:val="single"/>
          <w:lang w:val="fr-LU" w:eastAsia="fr-LU"/>
        </w:rPr>
        <w:t xml:space="preserve">Cour des comptes élargisse ses contrôles aux rémunérations des pensionnés de l’Etat. </w:t>
      </w:r>
    </w:p>
    <w:p w:rsidR="00BD4165" w:rsidRPr="00EA5C11" w:rsidRDefault="00BD4165" w:rsidP="00E46C0B">
      <w:pPr>
        <w:adjustRightInd w:val="0"/>
        <w:jc w:val="both"/>
        <w:rPr>
          <w:rFonts w:ascii="Times-Roman" w:hAnsi="Times-Roman" w:cs="Times-Roman"/>
          <w:lang w:val="fr-LU"/>
        </w:rPr>
      </w:pPr>
    </w:p>
    <w:p w:rsidR="00EA5C11" w:rsidRPr="00EA5C11" w:rsidRDefault="00EA5C11" w:rsidP="00EA5C11">
      <w:pPr>
        <w:numPr>
          <w:ilvl w:val="0"/>
          <w:numId w:val="19"/>
        </w:numPr>
        <w:tabs>
          <w:tab w:val="clear" w:pos="2988"/>
          <w:tab w:val="num" w:pos="284"/>
        </w:tabs>
        <w:autoSpaceDE w:val="0"/>
        <w:autoSpaceDN w:val="0"/>
        <w:adjustRightInd w:val="0"/>
        <w:ind w:left="284" w:hanging="284"/>
        <w:jc w:val="both"/>
      </w:pPr>
      <w:r>
        <w:rPr>
          <w:lang w:val="fr-LU" w:eastAsia="fr-LU"/>
        </w:rPr>
        <w:t>Quant à la v</w:t>
      </w:r>
      <w:r w:rsidRPr="00854460">
        <w:rPr>
          <w:lang w:val="fr-LU" w:eastAsia="fr-LU"/>
        </w:rPr>
        <w:t xml:space="preserve">entilation détaillée des dépenses </w:t>
      </w:r>
      <w:r>
        <w:rPr>
          <w:lang w:val="fr-LU" w:eastAsia="fr-LU"/>
        </w:rPr>
        <w:t>de certains fonds spéciaux,</w:t>
      </w:r>
      <w:r w:rsidRPr="00854460">
        <w:rPr>
          <w:lang w:val="fr-LU" w:eastAsia="fr-LU"/>
        </w:rPr>
        <w:t xml:space="preserve"> </w:t>
      </w:r>
      <w:r>
        <w:rPr>
          <w:lang w:val="fr-LU" w:eastAsia="fr-LU"/>
        </w:rPr>
        <w:t>la Commission</w:t>
      </w:r>
      <w:r w:rsidRPr="00EA5C11">
        <w:t xml:space="preserve"> constate que les discussions avec les ministères concernés allant dans le sens des recommandations de la Cour des comptes (ventilation par projet ou type de travaux) n’ont  pas encore abouti. </w:t>
      </w:r>
    </w:p>
    <w:p w:rsidR="0052216C" w:rsidRDefault="0052216C" w:rsidP="00EA5C11">
      <w:pPr>
        <w:adjustRightInd w:val="0"/>
        <w:jc w:val="both"/>
        <w:rPr>
          <w:rFonts w:ascii="Times-Roman" w:hAnsi="Times-Roman" w:cs="Times-Roman"/>
          <w:lang w:val="fr-LU"/>
        </w:rPr>
      </w:pPr>
    </w:p>
    <w:p w:rsidR="009951A5" w:rsidRPr="009951A5" w:rsidRDefault="009951A5" w:rsidP="009951A5">
      <w:pPr>
        <w:tabs>
          <w:tab w:val="left" w:pos="284"/>
        </w:tabs>
        <w:ind w:left="284" w:hanging="284"/>
        <w:jc w:val="both"/>
      </w:pPr>
      <w:r w:rsidRPr="009951A5">
        <w:rPr>
          <w:rFonts w:ascii="Times-Roman" w:hAnsi="Times-Roman" w:cs="Times-Roman"/>
          <w:lang w:val="fr-LU"/>
        </w:rPr>
        <w:t>-</w:t>
      </w:r>
      <w:r w:rsidRPr="009951A5">
        <w:t xml:space="preserve"> </w:t>
      </w:r>
      <w:r w:rsidRPr="009951A5">
        <w:tab/>
        <w:t xml:space="preserve">Constatant que les travaux </w:t>
      </w:r>
      <w:r w:rsidR="00483A4D">
        <w:t xml:space="preserve">de préparation d’une </w:t>
      </w:r>
      <w:r w:rsidR="00483A4D" w:rsidRPr="00483A4D">
        <w:rPr>
          <w:u w:val="single"/>
        </w:rPr>
        <w:t>réforme budgétaire</w:t>
      </w:r>
      <w:r w:rsidR="00483A4D">
        <w:t xml:space="preserve"> </w:t>
      </w:r>
      <w:r w:rsidRPr="009951A5">
        <w:t xml:space="preserve">entamés sont en retard sur le calendrier avancé par le Ministre des Finances au cours de la réunion du 22 novembre 2011, la Commission, tout en appréhendant la complexité que représente la mise en place des détails de cette réforme, </w:t>
      </w:r>
      <w:r w:rsidRPr="00483A4D">
        <w:rPr>
          <w:u w:val="single"/>
        </w:rPr>
        <w:t>invite le Gouvernement à accélérer ses travaux en la matière</w:t>
      </w:r>
      <w:r w:rsidRPr="009951A5">
        <w:t>.</w:t>
      </w:r>
    </w:p>
    <w:p w:rsidR="00EA5C11" w:rsidRPr="009951A5" w:rsidRDefault="00EA5C11" w:rsidP="009951A5">
      <w:pPr>
        <w:adjustRightInd w:val="0"/>
        <w:ind w:left="284" w:hanging="284"/>
        <w:jc w:val="both"/>
        <w:rPr>
          <w:rFonts w:ascii="Times-Roman" w:hAnsi="Times-Roman" w:cs="Times-Roman"/>
        </w:rPr>
      </w:pPr>
    </w:p>
    <w:p w:rsidR="00BD4165" w:rsidRPr="00043136" w:rsidRDefault="00483A4D" w:rsidP="00043136">
      <w:pPr>
        <w:pStyle w:val="NormalWeb"/>
        <w:spacing w:before="0" w:beforeAutospacing="0" w:after="0" w:afterAutospacing="0"/>
        <w:ind w:left="284" w:hanging="284"/>
        <w:jc w:val="both"/>
        <w:rPr>
          <w:color w:val="0070C0"/>
          <w:lang w:val="fr-FR"/>
        </w:rPr>
      </w:pPr>
      <w:r w:rsidRPr="00483A4D">
        <w:rPr>
          <w:rFonts w:ascii="Times-Roman" w:hAnsi="Times-Roman" w:cs="Times-Roman"/>
          <w:lang w:val="fr-LU"/>
        </w:rPr>
        <w:t>-</w:t>
      </w:r>
      <w:r w:rsidRPr="00483A4D">
        <w:rPr>
          <w:color w:val="auto"/>
          <w:lang w:val="fr-FR"/>
        </w:rPr>
        <w:t xml:space="preserve"> </w:t>
      </w:r>
      <w:r>
        <w:rPr>
          <w:color w:val="auto"/>
          <w:lang w:val="fr-FR"/>
        </w:rPr>
        <w:tab/>
      </w:r>
      <w:r w:rsidRPr="00483A4D">
        <w:rPr>
          <w:color w:val="auto"/>
          <w:lang w:val="fr-FR"/>
        </w:rPr>
        <w:t>La Commission du Contrôle de l’exécution budgétaire rejoint le Conseil d’Etat dans ses remarques concernant l’écart significatif entre les recettes fiscales projetées et celles finalement engrangées pour l’exercice 2011.</w:t>
      </w:r>
      <w:r w:rsidRPr="00483A4D">
        <w:rPr>
          <w:color w:val="0070C0"/>
          <w:lang w:val="fr-FR"/>
        </w:rPr>
        <w:t xml:space="preserve"> </w:t>
      </w:r>
    </w:p>
    <w:sectPr w:rsidR="00BD4165" w:rsidRPr="00043136">
      <w:footerReference w:type="even" r:id="rId7"/>
      <w:footerReference w:type="default" r:id="rId8"/>
      <w:pgSz w:w="12240" w:h="15840"/>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F41" w:rsidRDefault="003B3F41">
      <w:r>
        <w:separator/>
      </w:r>
    </w:p>
  </w:endnote>
  <w:endnote w:type="continuationSeparator" w:id="0">
    <w:p w:rsidR="003B3F41" w:rsidRDefault="003B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D82" w:rsidRDefault="00013D82" w:rsidP="003A7BD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w:t>
    </w:r>
    <w:r>
      <w:rPr>
        <w:rStyle w:val="Numrodepage"/>
      </w:rPr>
      <w:fldChar w:fldCharType="end"/>
    </w:r>
  </w:p>
  <w:p w:rsidR="00013D82" w:rsidRDefault="00013D82">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D82" w:rsidRDefault="00013D82" w:rsidP="003A7BD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3042A1">
      <w:rPr>
        <w:rStyle w:val="Numrodepage"/>
        <w:noProof/>
      </w:rPr>
      <w:t>1</w:t>
    </w:r>
    <w:r>
      <w:rPr>
        <w:rStyle w:val="Numrodepage"/>
      </w:rPr>
      <w:fldChar w:fldCharType="end"/>
    </w:r>
  </w:p>
  <w:p w:rsidR="00013D82" w:rsidRDefault="00013D8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F41" w:rsidRDefault="003B3F41">
      <w:r>
        <w:separator/>
      </w:r>
    </w:p>
  </w:footnote>
  <w:footnote w:type="continuationSeparator" w:id="0">
    <w:p w:rsidR="003B3F41" w:rsidRDefault="003B3F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D6E"/>
    <w:multiLevelType w:val="hybridMultilevel"/>
    <w:tmpl w:val="8A7E7CD4"/>
    <w:lvl w:ilvl="0" w:tplc="140C000F">
      <w:start w:val="3"/>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02814651"/>
    <w:multiLevelType w:val="hybridMultilevel"/>
    <w:tmpl w:val="AE0C842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35451EA"/>
    <w:multiLevelType w:val="singleLevel"/>
    <w:tmpl w:val="681EDA4C"/>
    <w:lvl w:ilvl="0">
      <w:start w:val="17"/>
      <w:numFmt w:val="bullet"/>
      <w:lvlText w:val="-"/>
      <w:lvlJc w:val="left"/>
      <w:pPr>
        <w:tabs>
          <w:tab w:val="num" w:pos="360"/>
        </w:tabs>
        <w:ind w:left="360" w:hanging="360"/>
      </w:pPr>
    </w:lvl>
  </w:abstractNum>
  <w:abstractNum w:abstractNumId="3" w15:restartNumberingAfterBreak="0">
    <w:nsid w:val="047C263E"/>
    <w:multiLevelType w:val="hybridMultilevel"/>
    <w:tmpl w:val="12D28636"/>
    <w:lvl w:ilvl="0" w:tplc="140C000F">
      <w:start w:val="4"/>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05EE2F02"/>
    <w:multiLevelType w:val="hybridMultilevel"/>
    <w:tmpl w:val="DC2E8328"/>
    <w:lvl w:ilvl="0" w:tplc="31A6FA1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080F21"/>
    <w:multiLevelType w:val="hybridMultilevel"/>
    <w:tmpl w:val="EED874D2"/>
    <w:lvl w:ilvl="0" w:tplc="F66AC4D6">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064F4653"/>
    <w:multiLevelType w:val="hybridMultilevel"/>
    <w:tmpl w:val="0D6086E2"/>
    <w:lvl w:ilvl="0" w:tplc="9720535A">
      <w:start w:val="1"/>
      <w:numFmt w:val="bullet"/>
      <w:lvlText w:val=""/>
      <w:lvlJc w:val="left"/>
      <w:pPr>
        <w:ind w:left="1080" w:hanging="360"/>
      </w:pPr>
      <w:rPr>
        <w:rFonts w:ascii="Arial" w:eastAsia="Times New Roman" w:hAnsi="Arial" w:cs="Aria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7" w15:restartNumberingAfterBreak="0">
    <w:nsid w:val="0B461ED2"/>
    <w:multiLevelType w:val="hybridMultilevel"/>
    <w:tmpl w:val="1A686728"/>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0CB1219E"/>
    <w:multiLevelType w:val="hybridMultilevel"/>
    <w:tmpl w:val="DEE0CE68"/>
    <w:lvl w:ilvl="0" w:tplc="14684BB6">
      <w:start w:val="26"/>
      <w:numFmt w:val="bullet"/>
      <w:lvlText w:val="-"/>
      <w:lvlJc w:val="left"/>
      <w:pPr>
        <w:tabs>
          <w:tab w:val="num" w:pos="2988"/>
        </w:tabs>
        <w:ind w:left="2988" w:hanging="720"/>
      </w:pPr>
      <w:rPr>
        <w:rFonts w:ascii="Times New Roman" w:eastAsia="Times New Roman" w:hAnsi="Times New Roman" w:cs="Times New Roman" w:hint="default"/>
      </w:rPr>
    </w:lvl>
    <w:lvl w:ilvl="1" w:tplc="04090003" w:tentative="1">
      <w:start w:val="1"/>
      <w:numFmt w:val="bullet"/>
      <w:lvlText w:val="o"/>
      <w:lvlJc w:val="left"/>
      <w:pPr>
        <w:tabs>
          <w:tab w:val="num" w:pos="3348"/>
        </w:tabs>
        <w:ind w:left="3348" w:hanging="360"/>
      </w:pPr>
      <w:rPr>
        <w:rFonts w:ascii="Courier New" w:hAnsi="Courier New" w:cs="Courier New" w:hint="default"/>
      </w:rPr>
    </w:lvl>
    <w:lvl w:ilvl="2" w:tplc="04090005" w:tentative="1">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9" w15:restartNumberingAfterBreak="0">
    <w:nsid w:val="15B734E6"/>
    <w:multiLevelType w:val="hybridMultilevel"/>
    <w:tmpl w:val="6A5489EA"/>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09B1BA7"/>
    <w:multiLevelType w:val="hybridMultilevel"/>
    <w:tmpl w:val="ED325C72"/>
    <w:lvl w:ilvl="0" w:tplc="3AA43754">
      <w:start w:val="1"/>
      <w:numFmt w:val="bullet"/>
      <w:lvlText w:val="-"/>
      <w:lvlJc w:val="left"/>
      <w:pPr>
        <w:ind w:left="645" w:hanging="360"/>
      </w:pPr>
      <w:rPr>
        <w:rFonts w:ascii="Arial" w:eastAsia="Times New Roman" w:hAnsi="Arial" w:cs="Arial" w:hint="default"/>
      </w:rPr>
    </w:lvl>
    <w:lvl w:ilvl="1" w:tplc="140C0003" w:tentative="1">
      <w:start w:val="1"/>
      <w:numFmt w:val="bullet"/>
      <w:lvlText w:val="o"/>
      <w:lvlJc w:val="left"/>
      <w:pPr>
        <w:ind w:left="1365" w:hanging="360"/>
      </w:pPr>
      <w:rPr>
        <w:rFonts w:ascii="Courier New" w:hAnsi="Courier New" w:cs="Courier New" w:hint="default"/>
      </w:rPr>
    </w:lvl>
    <w:lvl w:ilvl="2" w:tplc="140C0005" w:tentative="1">
      <w:start w:val="1"/>
      <w:numFmt w:val="bullet"/>
      <w:lvlText w:val=""/>
      <w:lvlJc w:val="left"/>
      <w:pPr>
        <w:ind w:left="2085" w:hanging="360"/>
      </w:pPr>
      <w:rPr>
        <w:rFonts w:ascii="Wingdings" w:hAnsi="Wingdings" w:hint="default"/>
      </w:rPr>
    </w:lvl>
    <w:lvl w:ilvl="3" w:tplc="140C0001" w:tentative="1">
      <w:start w:val="1"/>
      <w:numFmt w:val="bullet"/>
      <w:lvlText w:val=""/>
      <w:lvlJc w:val="left"/>
      <w:pPr>
        <w:ind w:left="2805" w:hanging="360"/>
      </w:pPr>
      <w:rPr>
        <w:rFonts w:ascii="Symbol" w:hAnsi="Symbol" w:hint="default"/>
      </w:rPr>
    </w:lvl>
    <w:lvl w:ilvl="4" w:tplc="140C0003" w:tentative="1">
      <w:start w:val="1"/>
      <w:numFmt w:val="bullet"/>
      <w:lvlText w:val="o"/>
      <w:lvlJc w:val="left"/>
      <w:pPr>
        <w:ind w:left="3525" w:hanging="360"/>
      </w:pPr>
      <w:rPr>
        <w:rFonts w:ascii="Courier New" w:hAnsi="Courier New" w:cs="Courier New" w:hint="default"/>
      </w:rPr>
    </w:lvl>
    <w:lvl w:ilvl="5" w:tplc="140C0005" w:tentative="1">
      <w:start w:val="1"/>
      <w:numFmt w:val="bullet"/>
      <w:lvlText w:val=""/>
      <w:lvlJc w:val="left"/>
      <w:pPr>
        <w:ind w:left="4245" w:hanging="360"/>
      </w:pPr>
      <w:rPr>
        <w:rFonts w:ascii="Wingdings" w:hAnsi="Wingdings" w:hint="default"/>
      </w:rPr>
    </w:lvl>
    <w:lvl w:ilvl="6" w:tplc="140C0001" w:tentative="1">
      <w:start w:val="1"/>
      <w:numFmt w:val="bullet"/>
      <w:lvlText w:val=""/>
      <w:lvlJc w:val="left"/>
      <w:pPr>
        <w:ind w:left="4965" w:hanging="360"/>
      </w:pPr>
      <w:rPr>
        <w:rFonts w:ascii="Symbol" w:hAnsi="Symbol" w:hint="default"/>
      </w:rPr>
    </w:lvl>
    <w:lvl w:ilvl="7" w:tplc="140C0003" w:tentative="1">
      <w:start w:val="1"/>
      <w:numFmt w:val="bullet"/>
      <w:lvlText w:val="o"/>
      <w:lvlJc w:val="left"/>
      <w:pPr>
        <w:ind w:left="5685" w:hanging="360"/>
      </w:pPr>
      <w:rPr>
        <w:rFonts w:ascii="Courier New" w:hAnsi="Courier New" w:cs="Courier New" w:hint="default"/>
      </w:rPr>
    </w:lvl>
    <w:lvl w:ilvl="8" w:tplc="140C0005" w:tentative="1">
      <w:start w:val="1"/>
      <w:numFmt w:val="bullet"/>
      <w:lvlText w:val=""/>
      <w:lvlJc w:val="left"/>
      <w:pPr>
        <w:ind w:left="6405" w:hanging="360"/>
      </w:pPr>
      <w:rPr>
        <w:rFonts w:ascii="Wingdings" w:hAnsi="Wingdings" w:hint="default"/>
      </w:rPr>
    </w:lvl>
  </w:abstractNum>
  <w:abstractNum w:abstractNumId="11" w15:restartNumberingAfterBreak="0">
    <w:nsid w:val="2FD07AF5"/>
    <w:multiLevelType w:val="hybridMultilevel"/>
    <w:tmpl w:val="6A6E8F82"/>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316244EF"/>
    <w:multiLevelType w:val="hybridMultilevel"/>
    <w:tmpl w:val="63DC7C7A"/>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3" w15:restartNumberingAfterBreak="0">
    <w:nsid w:val="482A3027"/>
    <w:multiLevelType w:val="hybridMultilevel"/>
    <w:tmpl w:val="70169356"/>
    <w:lvl w:ilvl="0" w:tplc="E2FEDF84">
      <w:start w:val="6"/>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5B755500"/>
    <w:multiLevelType w:val="hybridMultilevel"/>
    <w:tmpl w:val="5356985C"/>
    <w:lvl w:ilvl="0" w:tplc="7B803B86">
      <w:start w:val="1"/>
      <w:numFmt w:val="bullet"/>
      <w:pStyle w:val="1IndentBulletTEXTE"/>
      <w:lvlText w:val=""/>
      <w:lvlJc w:val="left"/>
      <w:pPr>
        <w:tabs>
          <w:tab w:val="num" w:pos="2349"/>
        </w:tabs>
        <w:ind w:left="2349" w:hanging="360"/>
      </w:pPr>
      <w:rPr>
        <w:rFonts w:ascii="Symbol" w:hAnsi="Symbol" w:hint="default"/>
      </w:rPr>
    </w:lvl>
    <w:lvl w:ilvl="1" w:tplc="3AEE230A">
      <w:start w:val="1"/>
      <w:numFmt w:val="bullet"/>
      <w:pStyle w:val="1IndentIndentBulletTEXTE"/>
      <w:lvlText w:val="o"/>
      <w:lvlJc w:val="left"/>
      <w:pPr>
        <w:tabs>
          <w:tab w:val="num" w:pos="3069"/>
        </w:tabs>
        <w:ind w:left="3069" w:hanging="360"/>
      </w:pPr>
      <w:rPr>
        <w:rFonts w:ascii="Courier New" w:hAnsi="Courier New" w:hint="default"/>
      </w:rPr>
    </w:lvl>
    <w:lvl w:ilvl="2" w:tplc="04090005" w:tentative="1">
      <w:start w:val="1"/>
      <w:numFmt w:val="bullet"/>
      <w:lvlText w:val=""/>
      <w:lvlJc w:val="left"/>
      <w:pPr>
        <w:tabs>
          <w:tab w:val="num" w:pos="3789"/>
        </w:tabs>
        <w:ind w:left="3789" w:hanging="360"/>
      </w:pPr>
      <w:rPr>
        <w:rFonts w:ascii="Wingdings" w:hAnsi="Wingdings" w:hint="default"/>
      </w:rPr>
    </w:lvl>
    <w:lvl w:ilvl="3" w:tplc="04090001" w:tentative="1">
      <w:start w:val="1"/>
      <w:numFmt w:val="bullet"/>
      <w:lvlText w:val=""/>
      <w:lvlJc w:val="left"/>
      <w:pPr>
        <w:tabs>
          <w:tab w:val="num" w:pos="4509"/>
        </w:tabs>
        <w:ind w:left="4509" w:hanging="360"/>
      </w:pPr>
      <w:rPr>
        <w:rFonts w:ascii="Symbol" w:hAnsi="Symbol" w:hint="default"/>
      </w:rPr>
    </w:lvl>
    <w:lvl w:ilvl="4" w:tplc="04090003" w:tentative="1">
      <w:start w:val="1"/>
      <w:numFmt w:val="bullet"/>
      <w:lvlText w:val="o"/>
      <w:lvlJc w:val="left"/>
      <w:pPr>
        <w:tabs>
          <w:tab w:val="num" w:pos="5229"/>
        </w:tabs>
        <w:ind w:left="5229" w:hanging="360"/>
      </w:pPr>
      <w:rPr>
        <w:rFonts w:ascii="Courier New" w:hAnsi="Courier New" w:cs="Courier New" w:hint="default"/>
      </w:rPr>
    </w:lvl>
    <w:lvl w:ilvl="5" w:tplc="04090005" w:tentative="1">
      <w:start w:val="1"/>
      <w:numFmt w:val="bullet"/>
      <w:lvlText w:val=""/>
      <w:lvlJc w:val="left"/>
      <w:pPr>
        <w:tabs>
          <w:tab w:val="num" w:pos="5949"/>
        </w:tabs>
        <w:ind w:left="5949" w:hanging="360"/>
      </w:pPr>
      <w:rPr>
        <w:rFonts w:ascii="Wingdings" w:hAnsi="Wingdings" w:hint="default"/>
      </w:rPr>
    </w:lvl>
    <w:lvl w:ilvl="6" w:tplc="04090001" w:tentative="1">
      <w:start w:val="1"/>
      <w:numFmt w:val="bullet"/>
      <w:lvlText w:val=""/>
      <w:lvlJc w:val="left"/>
      <w:pPr>
        <w:tabs>
          <w:tab w:val="num" w:pos="6669"/>
        </w:tabs>
        <w:ind w:left="6669" w:hanging="360"/>
      </w:pPr>
      <w:rPr>
        <w:rFonts w:ascii="Symbol" w:hAnsi="Symbol" w:hint="default"/>
      </w:rPr>
    </w:lvl>
    <w:lvl w:ilvl="7" w:tplc="04090003" w:tentative="1">
      <w:start w:val="1"/>
      <w:numFmt w:val="bullet"/>
      <w:lvlText w:val="o"/>
      <w:lvlJc w:val="left"/>
      <w:pPr>
        <w:tabs>
          <w:tab w:val="num" w:pos="7389"/>
        </w:tabs>
        <w:ind w:left="7389" w:hanging="360"/>
      </w:pPr>
      <w:rPr>
        <w:rFonts w:ascii="Courier New" w:hAnsi="Courier New" w:cs="Courier New" w:hint="default"/>
      </w:rPr>
    </w:lvl>
    <w:lvl w:ilvl="8" w:tplc="04090005" w:tentative="1">
      <w:start w:val="1"/>
      <w:numFmt w:val="bullet"/>
      <w:lvlText w:val=""/>
      <w:lvlJc w:val="left"/>
      <w:pPr>
        <w:tabs>
          <w:tab w:val="num" w:pos="8109"/>
        </w:tabs>
        <w:ind w:left="8109" w:hanging="360"/>
      </w:pPr>
      <w:rPr>
        <w:rFonts w:ascii="Wingdings" w:hAnsi="Wingdings" w:hint="default"/>
      </w:rPr>
    </w:lvl>
  </w:abstractNum>
  <w:abstractNum w:abstractNumId="15" w15:restartNumberingAfterBreak="0">
    <w:nsid w:val="5FDC4E02"/>
    <w:multiLevelType w:val="hybridMultilevel"/>
    <w:tmpl w:val="A92C8DBC"/>
    <w:lvl w:ilvl="0" w:tplc="E1A8871C">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736E0FBC"/>
    <w:multiLevelType w:val="hybridMultilevel"/>
    <w:tmpl w:val="1CBCC342"/>
    <w:lvl w:ilvl="0" w:tplc="7EFAB494">
      <w:start w:val="4"/>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778339A1"/>
    <w:multiLevelType w:val="multilevel"/>
    <w:tmpl w:val="70F85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lang w:val="fr-F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BC3D59"/>
    <w:multiLevelType w:val="hybridMultilevel"/>
    <w:tmpl w:val="29A63FF6"/>
    <w:lvl w:ilvl="0" w:tplc="D83CF096">
      <w:start w:val="1"/>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7EE318A0"/>
    <w:multiLevelType w:val="hybridMultilevel"/>
    <w:tmpl w:val="7D9EB0B0"/>
    <w:lvl w:ilvl="0" w:tplc="B08200A2">
      <w:start w:val="1"/>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num>
  <w:num w:numId="3">
    <w:abstractNumId w:val="11"/>
  </w:num>
  <w:num w:numId="4">
    <w:abstractNumId w:val="12"/>
  </w:num>
  <w:num w:numId="5">
    <w:abstractNumId w:val="7"/>
  </w:num>
  <w:num w:numId="6">
    <w:abstractNumId w:val="17"/>
  </w:num>
  <w:num w:numId="7">
    <w:abstractNumId w:val="0"/>
  </w:num>
  <w:num w:numId="8">
    <w:abstractNumId w:val="9"/>
  </w:num>
  <w:num w:numId="9">
    <w:abstractNumId w:val="4"/>
  </w:num>
  <w:num w:numId="10">
    <w:abstractNumId w:val="1"/>
  </w:num>
  <w:num w:numId="11">
    <w:abstractNumId w:val="3"/>
  </w:num>
  <w:num w:numId="12">
    <w:abstractNumId w:val="16"/>
  </w:num>
  <w:num w:numId="13">
    <w:abstractNumId w:val="10"/>
  </w:num>
  <w:num w:numId="14">
    <w:abstractNumId w:val="18"/>
  </w:num>
  <w:num w:numId="15">
    <w:abstractNumId w:val="6"/>
  </w:num>
  <w:num w:numId="16">
    <w:abstractNumId w:val="19"/>
  </w:num>
  <w:num w:numId="17">
    <w:abstractNumId w:val="15"/>
  </w:num>
  <w:num w:numId="18">
    <w:abstractNumId w:val="5"/>
  </w:num>
  <w:num w:numId="19">
    <w:abstractNumId w:val="8"/>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3E9"/>
    <w:rsid w:val="0000235F"/>
    <w:rsid w:val="00002D3C"/>
    <w:rsid w:val="00010059"/>
    <w:rsid w:val="00010D9E"/>
    <w:rsid w:val="00013D82"/>
    <w:rsid w:val="00015131"/>
    <w:rsid w:val="00015604"/>
    <w:rsid w:val="00020AA2"/>
    <w:rsid w:val="000233E7"/>
    <w:rsid w:val="00026AB6"/>
    <w:rsid w:val="00027CD0"/>
    <w:rsid w:val="00033831"/>
    <w:rsid w:val="00036785"/>
    <w:rsid w:val="0003724F"/>
    <w:rsid w:val="00037C14"/>
    <w:rsid w:val="000411DA"/>
    <w:rsid w:val="00041891"/>
    <w:rsid w:val="00043136"/>
    <w:rsid w:val="000437FD"/>
    <w:rsid w:val="00044700"/>
    <w:rsid w:val="00046A27"/>
    <w:rsid w:val="00046D63"/>
    <w:rsid w:val="00052E31"/>
    <w:rsid w:val="00054C94"/>
    <w:rsid w:val="00055C9D"/>
    <w:rsid w:val="0006215B"/>
    <w:rsid w:val="000645A1"/>
    <w:rsid w:val="0006476B"/>
    <w:rsid w:val="00074900"/>
    <w:rsid w:val="000765FB"/>
    <w:rsid w:val="0007673F"/>
    <w:rsid w:val="00076C44"/>
    <w:rsid w:val="00085082"/>
    <w:rsid w:val="000854BE"/>
    <w:rsid w:val="0008744E"/>
    <w:rsid w:val="00087BDC"/>
    <w:rsid w:val="00090EA0"/>
    <w:rsid w:val="00092983"/>
    <w:rsid w:val="00097E19"/>
    <w:rsid w:val="000A1C64"/>
    <w:rsid w:val="000A2A20"/>
    <w:rsid w:val="000A2B94"/>
    <w:rsid w:val="000A2EF1"/>
    <w:rsid w:val="000A4532"/>
    <w:rsid w:val="000A58A1"/>
    <w:rsid w:val="000A6BD8"/>
    <w:rsid w:val="000B3A01"/>
    <w:rsid w:val="000C6194"/>
    <w:rsid w:val="000C6B82"/>
    <w:rsid w:val="000D100F"/>
    <w:rsid w:val="000D5C98"/>
    <w:rsid w:val="000D5FB7"/>
    <w:rsid w:val="000D77A2"/>
    <w:rsid w:val="000E081A"/>
    <w:rsid w:val="000E123D"/>
    <w:rsid w:val="000E19E4"/>
    <w:rsid w:val="000F04E9"/>
    <w:rsid w:val="000F18B0"/>
    <w:rsid w:val="000F2899"/>
    <w:rsid w:val="000F3049"/>
    <w:rsid w:val="000F7378"/>
    <w:rsid w:val="00106DFD"/>
    <w:rsid w:val="001101E4"/>
    <w:rsid w:val="00122C4A"/>
    <w:rsid w:val="00127218"/>
    <w:rsid w:val="001325AB"/>
    <w:rsid w:val="00134B94"/>
    <w:rsid w:val="00134D72"/>
    <w:rsid w:val="001353E9"/>
    <w:rsid w:val="00136E18"/>
    <w:rsid w:val="00137909"/>
    <w:rsid w:val="001425C9"/>
    <w:rsid w:val="00142B98"/>
    <w:rsid w:val="0015501D"/>
    <w:rsid w:val="00156994"/>
    <w:rsid w:val="00162F02"/>
    <w:rsid w:val="0016790E"/>
    <w:rsid w:val="001707C1"/>
    <w:rsid w:val="001729BE"/>
    <w:rsid w:val="001765E3"/>
    <w:rsid w:val="00180CDD"/>
    <w:rsid w:val="0018177A"/>
    <w:rsid w:val="001817C7"/>
    <w:rsid w:val="001842C9"/>
    <w:rsid w:val="00185150"/>
    <w:rsid w:val="00185269"/>
    <w:rsid w:val="00190243"/>
    <w:rsid w:val="00190F73"/>
    <w:rsid w:val="0019202A"/>
    <w:rsid w:val="00195010"/>
    <w:rsid w:val="00196A29"/>
    <w:rsid w:val="001A1C8E"/>
    <w:rsid w:val="001A4B1E"/>
    <w:rsid w:val="001A4B3E"/>
    <w:rsid w:val="001A7688"/>
    <w:rsid w:val="001A7CBF"/>
    <w:rsid w:val="001B170A"/>
    <w:rsid w:val="001B2E9E"/>
    <w:rsid w:val="001B4B65"/>
    <w:rsid w:val="001B60F1"/>
    <w:rsid w:val="001C2C92"/>
    <w:rsid w:val="001C4729"/>
    <w:rsid w:val="001D2C45"/>
    <w:rsid w:val="001D3D3E"/>
    <w:rsid w:val="001D4381"/>
    <w:rsid w:val="001D49D9"/>
    <w:rsid w:val="001D60C1"/>
    <w:rsid w:val="001E031C"/>
    <w:rsid w:val="001E29FE"/>
    <w:rsid w:val="001E2C1B"/>
    <w:rsid w:val="001E30A1"/>
    <w:rsid w:val="001E4C03"/>
    <w:rsid w:val="001E586D"/>
    <w:rsid w:val="001E6352"/>
    <w:rsid w:val="001F04D1"/>
    <w:rsid w:val="001F571D"/>
    <w:rsid w:val="001F665B"/>
    <w:rsid w:val="001F6857"/>
    <w:rsid w:val="001F68AA"/>
    <w:rsid w:val="00206318"/>
    <w:rsid w:val="00206923"/>
    <w:rsid w:val="00206FD1"/>
    <w:rsid w:val="002100A7"/>
    <w:rsid w:val="00211D64"/>
    <w:rsid w:val="0021575B"/>
    <w:rsid w:val="00220735"/>
    <w:rsid w:val="002215BE"/>
    <w:rsid w:val="00223D6A"/>
    <w:rsid w:val="00226459"/>
    <w:rsid w:val="00226B7D"/>
    <w:rsid w:val="00227585"/>
    <w:rsid w:val="00230093"/>
    <w:rsid w:val="002311AA"/>
    <w:rsid w:val="0023141D"/>
    <w:rsid w:val="00231820"/>
    <w:rsid w:val="00231F6C"/>
    <w:rsid w:val="00232F8F"/>
    <w:rsid w:val="00235A2A"/>
    <w:rsid w:val="00237226"/>
    <w:rsid w:val="00241B7E"/>
    <w:rsid w:val="00247E56"/>
    <w:rsid w:val="0025079D"/>
    <w:rsid w:val="00250847"/>
    <w:rsid w:val="00255FA3"/>
    <w:rsid w:val="00261308"/>
    <w:rsid w:val="00266C64"/>
    <w:rsid w:val="00272BC8"/>
    <w:rsid w:val="00273E1B"/>
    <w:rsid w:val="0027406B"/>
    <w:rsid w:val="00281FFC"/>
    <w:rsid w:val="00283E3E"/>
    <w:rsid w:val="00285535"/>
    <w:rsid w:val="00286D50"/>
    <w:rsid w:val="00286FCF"/>
    <w:rsid w:val="0029024F"/>
    <w:rsid w:val="002908A8"/>
    <w:rsid w:val="00294A5B"/>
    <w:rsid w:val="00294D1A"/>
    <w:rsid w:val="00297592"/>
    <w:rsid w:val="002A0901"/>
    <w:rsid w:val="002A0F6B"/>
    <w:rsid w:val="002A6BB6"/>
    <w:rsid w:val="002A77F8"/>
    <w:rsid w:val="002B1BC8"/>
    <w:rsid w:val="002B412E"/>
    <w:rsid w:val="002C0431"/>
    <w:rsid w:val="002C34B9"/>
    <w:rsid w:val="002C3D4D"/>
    <w:rsid w:val="002C5409"/>
    <w:rsid w:val="002C57C7"/>
    <w:rsid w:val="002C5E2E"/>
    <w:rsid w:val="002C7C2F"/>
    <w:rsid w:val="002D089A"/>
    <w:rsid w:val="002D177F"/>
    <w:rsid w:val="002D18A2"/>
    <w:rsid w:val="002D3F0A"/>
    <w:rsid w:val="002E2F44"/>
    <w:rsid w:val="002E6EE1"/>
    <w:rsid w:val="002F11AE"/>
    <w:rsid w:val="002F34B4"/>
    <w:rsid w:val="003042A1"/>
    <w:rsid w:val="00312B07"/>
    <w:rsid w:val="00313CF2"/>
    <w:rsid w:val="00315519"/>
    <w:rsid w:val="00315A57"/>
    <w:rsid w:val="003167B9"/>
    <w:rsid w:val="003179B4"/>
    <w:rsid w:val="00317CB1"/>
    <w:rsid w:val="0032091F"/>
    <w:rsid w:val="00320CF2"/>
    <w:rsid w:val="00323E69"/>
    <w:rsid w:val="003249F3"/>
    <w:rsid w:val="003260D1"/>
    <w:rsid w:val="003264F1"/>
    <w:rsid w:val="00327DD8"/>
    <w:rsid w:val="00343F9C"/>
    <w:rsid w:val="00343FFD"/>
    <w:rsid w:val="00352013"/>
    <w:rsid w:val="00354291"/>
    <w:rsid w:val="0036035F"/>
    <w:rsid w:val="00360E10"/>
    <w:rsid w:val="00361766"/>
    <w:rsid w:val="00362DEF"/>
    <w:rsid w:val="00363BCD"/>
    <w:rsid w:val="00367865"/>
    <w:rsid w:val="003700C5"/>
    <w:rsid w:val="003739FF"/>
    <w:rsid w:val="003763F6"/>
    <w:rsid w:val="0037720A"/>
    <w:rsid w:val="0038103D"/>
    <w:rsid w:val="00382A02"/>
    <w:rsid w:val="003913FE"/>
    <w:rsid w:val="00392861"/>
    <w:rsid w:val="00392B23"/>
    <w:rsid w:val="00392EBB"/>
    <w:rsid w:val="00396158"/>
    <w:rsid w:val="003A08CD"/>
    <w:rsid w:val="003A1492"/>
    <w:rsid w:val="003A2D09"/>
    <w:rsid w:val="003A50EC"/>
    <w:rsid w:val="003A5203"/>
    <w:rsid w:val="003A5562"/>
    <w:rsid w:val="003A5615"/>
    <w:rsid w:val="003A68CF"/>
    <w:rsid w:val="003A6EE6"/>
    <w:rsid w:val="003A7BD1"/>
    <w:rsid w:val="003A7F51"/>
    <w:rsid w:val="003B3F41"/>
    <w:rsid w:val="003B5A5D"/>
    <w:rsid w:val="003B5AA0"/>
    <w:rsid w:val="003C076E"/>
    <w:rsid w:val="003D0DB6"/>
    <w:rsid w:val="003D16AB"/>
    <w:rsid w:val="003D5485"/>
    <w:rsid w:val="003E09FE"/>
    <w:rsid w:val="003E143C"/>
    <w:rsid w:val="003E3317"/>
    <w:rsid w:val="003E451B"/>
    <w:rsid w:val="003F6CFC"/>
    <w:rsid w:val="004029DF"/>
    <w:rsid w:val="00402CEF"/>
    <w:rsid w:val="00413FA6"/>
    <w:rsid w:val="00414E11"/>
    <w:rsid w:val="0041764E"/>
    <w:rsid w:val="00423BF9"/>
    <w:rsid w:val="004273DA"/>
    <w:rsid w:val="00432A2D"/>
    <w:rsid w:val="00433368"/>
    <w:rsid w:val="004412A8"/>
    <w:rsid w:val="004442DD"/>
    <w:rsid w:val="004447DF"/>
    <w:rsid w:val="004460F4"/>
    <w:rsid w:val="004518B0"/>
    <w:rsid w:val="004537A7"/>
    <w:rsid w:val="00453866"/>
    <w:rsid w:val="00454247"/>
    <w:rsid w:val="00460505"/>
    <w:rsid w:val="00462315"/>
    <w:rsid w:val="00462710"/>
    <w:rsid w:val="00462E20"/>
    <w:rsid w:val="00462E84"/>
    <w:rsid w:val="0046552B"/>
    <w:rsid w:val="004702A7"/>
    <w:rsid w:val="0047329A"/>
    <w:rsid w:val="004778FE"/>
    <w:rsid w:val="00477E24"/>
    <w:rsid w:val="00481771"/>
    <w:rsid w:val="00482E22"/>
    <w:rsid w:val="00483A4D"/>
    <w:rsid w:val="00490898"/>
    <w:rsid w:val="00491E16"/>
    <w:rsid w:val="00494349"/>
    <w:rsid w:val="004965D5"/>
    <w:rsid w:val="004A0E70"/>
    <w:rsid w:val="004A3CED"/>
    <w:rsid w:val="004A3D14"/>
    <w:rsid w:val="004A4505"/>
    <w:rsid w:val="004A4A79"/>
    <w:rsid w:val="004A6F4A"/>
    <w:rsid w:val="004B21D3"/>
    <w:rsid w:val="004B42E9"/>
    <w:rsid w:val="004B5316"/>
    <w:rsid w:val="004C250D"/>
    <w:rsid w:val="004C7C45"/>
    <w:rsid w:val="004D1BFB"/>
    <w:rsid w:val="004D2AEF"/>
    <w:rsid w:val="004E1301"/>
    <w:rsid w:val="004E3B53"/>
    <w:rsid w:val="004E4288"/>
    <w:rsid w:val="004F147D"/>
    <w:rsid w:val="004F1850"/>
    <w:rsid w:val="004F3E09"/>
    <w:rsid w:val="004F4782"/>
    <w:rsid w:val="004F57DA"/>
    <w:rsid w:val="004F6A72"/>
    <w:rsid w:val="004F71B8"/>
    <w:rsid w:val="00507812"/>
    <w:rsid w:val="005132AB"/>
    <w:rsid w:val="0052216C"/>
    <w:rsid w:val="00527235"/>
    <w:rsid w:val="0053013E"/>
    <w:rsid w:val="00530A7F"/>
    <w:rsid w:val="00531293"/>
    <w:rsid w:val="005312D9"/>
    <w:rsid w:val="00533158"/>
    <w:rsid w:val="005340BF"/>
    <w:rsid w:val="00535052"/>
    <w:rsid w:val="00547720"/>
    <w:rsid w:val="00550ABF"/>
    <w:rsid w:val="00556A5D"/>
    <w:rsid w:val="00565691"/>
    <w:rsid w:val="0056644C"/>
    <w:rsid w:val="00570F44"/>
    <w:rsid w:val="00571661"/>
    <w:rsid w:val="00571B4F"/>
    <w:rsid w:val="00573062"/>
    <w:rsid w:val="00573F2A"/>
    <w:rsid w:val="0057686D"/>
    <w:rsid w:val="00581929"/>
    <w:rsid w:val="00582051"/>
    <w:rsid w:val="005829BC"/>
    <w:rsid w:val="00584DC2"/>
    <w:rsid w:val="005870FD"/>
    <w:rsid w:val="00590948"/>
    <w:rsid w:val="00593577"/>
    <w:rsid w:val="00597B46"/>
    <w:rsid w:val="005A01A6"/>
    <w:rsid w:val="005A51EB"/>
    <w:rsid w:val="005A7747"/>
    <w:rsid w:val="005B1B63"/>
    <w:rsid w:val="005B1F97"/>
    <w:rsid w:val="005B31EC"/>
    <w:rsid w:val="005B6811"/>
    <w:rsid w:val="005C15E4"/>
    <w:rsid w:val="005C2B3D"/>
    <w:rsid w:val="005C5FE6"/>
    <w:rsid w:val="005D1F18"/>
    <w:rsid w:val="005D4C17"/>
    <w:rsid w:val="005E019F"/>
    <w:rsid w:val="005E07F4"/>
    <w:rsid w:val="005E1110"/>
    <w:rsid w:val="005E36D0"/>
    <w:rsid w:val="005E43CA"/>
    <w:rsid w:val="005F0F90"/>
    <w:rsid w:val="005F1305"/>
    <w:rsid w:val="005F1D7A"/>
    <w:rsid w:val="005F48FC"/>
    <w:rsid w:val="005F7A5A"/>
    <w:rsid w:val="006003B1"/>
    <w:rsid w:val="00605C31"/>
    <w:rsid w:val="00606523"/>
    <w:rsid w:val="00613482"/>
    <w:rsid w:val="00613697"/>
    <w:rsid w:val="0062006E"/>
    <w:rsid w:val="00624886"/>
    <w:rsid w:val="00625731"/>
    <w:rsid w:val="00626039"/>
    <w:rsid w:val="00630241"/>
    <w:rsid w:val="00632437"/>
    <w:rsid w:val="00636676"/>
    <w:rsid w:val="006369E0"/>
    <w:rsid w:val="0064027E"/>
    <w:rsid w:val="00640AB9"/>
    <w:rsid w:val="00640F4F"/>
    <w:rsid w:val="00641DA6"/>
    <w:rsid w:val="00644785"/>
    <w:rsid w:val="00644C26"/>
    <w:rsid w:val="006458FC"/>
    <w:rsid w:val="006504F8"/>
    <w:rsid w:val="006508ED"/>
    <w:rsid w:val="00653BE4"/>
    <w:rsid w:val="00653CA7"/>
    <w:rsid w:val="00656765"/>
    <w:rsid w:val="00660F47"/>
    <w:rsid w:val="00664E82"/>
    <w:rsid w:val="00666F8E"/>
    <w:rsid w:val="00670EB9"/>
    <w:rsid w:val="006749C0"/>
    <w:rsid w:val="00686263"/>
    <w:rsid w:val="006915CA"/>
    <w:rsid w:val="00693538"/>
    <w:rsid w:val="00694269"/>
    <w:rsid w:val="00694CED"/>
    <w:rsid w:val="00695D9A"/>
    <w:rsid w:val="00695E88"/>
    <w:rsid w:val="00697388"/>
    <w:rsid w:val="00697C1E"/>
    <w:rsid w:val="00697FA4"/>
    <w:rsid w:val="006A01F4"/>
    <w:rsid w:val="006A052E"/>
    <w:rsid w:val="006A1868"/>
    <w:rsid w:val="006A3C0D"/>
    <w:rsid w:val="006A3F86"/>
    <w:rsid w:val="006A7664"/>
    <w:rsid w:val="006B0C11"/>
    <w:rsid w:val="006C0F3D"/>
    <w:rsid w:val="006C364C"/>
    <w:rsid w:val="006C613A"/>
    <w:rsid w:val="006D3C4F"/>
    <w:rsid w:val="006D42CD"/>
    <w:rsid w:val="006D5D6F"/>
    <w:rsid w:val="006D646E"/>
    <w:rsid w:val="006E1E8B"/>
    <w:rsid w:val="006E325E"/>
    <w:rsid w:val="006E39FB"/>
    <w:rsid w:val="006E594C"/>
    <w:rsid w:val="006E65BA"/>
    <w:rsid w:val="006F2998"/>
    <w:rsid w:val="00700918"/>
    <w:rsid w:val="007029A3"/>
    <w:rsid w:val="007032DC"/>
    <w:rsid w:val="00703D84"/>
    <w:rsid w:val="0070494D"/>
    <w:rsid w:val="0071215D"/>
    <w:rsid w:val="0071462E"/>
    <w:rsid w:val="00715D54"/>
    <w:rsid w:val="00717A59"/>
    <w:rsid w:val="00717BCF"/>
    <w:rsid w:val="007200E4"/>
    <w:rsid w:val="00720A84"/>
    <w:rsid w:val="007216DB"/>
    <w:rsid w:val="00722786"/>
    <w:rsid w:val="00722BC0"/>
    <w:rsid w:val="007265DB"/>
    <w:rsid w:val="007300B9"/>
    <w:rsid w:val="0073097F"/>
    <w:rsid w:val="0073149F"/>
    <w:rsid w:val="00733121"/>
    <w:rsid w:val="0073727B"/>
    <w:rsid w:val="0074017E"/>
    <w:rsid w:val="00740BD3"/>
    <w:rsid w:val="0075061C"/>
    <w:rsid w:val="0075275A"/>
    <w:rsid w:val="0076076B"/>
    <w:rsid w:val="007624C1"/>
    <w:rsid w:val="00763FF8"/>
    <w:rsid w:val="007641DC"/>
    <w:rsid w:val="00767966"/>
    <w:rsid w:val="00767EFA"/>
    <w:rsid w:val="00771500"/>
    <w:rsid w:val="00776645"/>
    <w:rsid w:val="007768A2"/>
    <w:rsid w:val="0078004E"/>
    <w:rsid w:val="00783855"/>
    <w:rsid w:val="0078624E"/>
    <w:rsid w:val="00787516"/>
    <w:rsid w:val="0078789F"/>
    <w:rsid w:val="00793E96"/>
    <w:rsid w:val="007A5338"/>
    <w:rsid w:val="007C11F1"/>
    <w:rsid w:val="007C1F8B"/>
    <w:rsid w:val="007C25F6"/>
    <w:rsid w:val="007C4FFE"/>
    <w:rsid w:val="007C5A34"/>
    <w:rsid w:val="007C6D82"/>
    <w:rsid w:val="007D33A2"/>
    <w:rsid w:val="007D38D7"/>
    <w:rsid w:val="007E019A"/>
    <w:rsid w:val="007E075B"/>
    <w:rsid w:val="007E524E"/>
    <w:rsid w:val="007E7BE0"/>
    <w:rsid w:val="007F13DE"/>
    <w:rsid w:val="007F519E"/>
    <w:rsid w:val="00801A5B"/>
    <w:rsid w:val="0080322F"/>
    <w:rsid w:val="0080349A"/>
    <w:rsid w:val="008078E5"/>
    <w:rsid w:val="00807C81"/>
    <w:rsid w:val="00812419"/>
    <w:rsid w:val="008169F6"/>
    <w:rsid w:val="00820218"/>
    <w:rsid w:val="00827805"/>
    <w:rsid w:val="00834677"/>
    <w:rsid w:val="00840220"/>
    <w:rsid w:val="0084244D"/>
    <w:rsid w:val="0084263F"/>
    <w:rsid w:val="00842E1B"/>
    <w:rsid w:val="0084564E"/>
    <w:rsid w:val="008512DA"/>
    <w:rsid w:val="00854460"/>
    <w:rsid w:val="00856C55"/>
    <w:rsid w:val="00860159"/>
    <w:rsid w:val="008626CE"/>
    <w:rsid w:val="00862813"/>
    <w:rsid w:val="00865064"/>
    <w:rsid w:val="00870AD0"/>
    <w:rsid w:val="0087122A"/>
    <w:rsid w:val="008774E6"/>
    <w:rsid w:val="00882F53"/>
    <w:rsid w:val="00883636"/>
    <w:rsid w:val="00885CF9"/>
    <w:rsid w:val="008928E2"/>
    <w:rsid w:val="008948BA"/>
    <w:rsid w:val="008A4E04"/>
    <w:rsid w:val="008B2198"/>
    <w:rsid w:val="008B51C5"/>
    <w:rsid w:val="008C2A23"/>
    <w:rsid w:val="008C453E"/>
    <w:rsid w:val="008C4CC3"/>
    <w:rsid w:val="008C6C1B"/>
    <w:rsid w:val="008C7F88"/>
    <w:rsid w:val="008D0349"/>
    <w:rsid w:val="008D7BBC"/>
    <w:rsid w:val="008E041F"/>
    <w:rsid w:val="008E0927"/>
    <w:rsid w:val="008E0A87"/>
    <w:rsid w:val="008E21AE"/>
    <w:rsid w:val="008E2C1C"/>
    <w:rsid w:val="008E5037"/>
    <w:rsid w:val="008E6169"/>
    <w:rsid w:val="008E61B3"/>
    <w:rsid w:val="008E6FCF"/>
    <w:rsid w:val="008E7899"/>
    <w:rsid w:val="008F0417"/>
    <w:rsid w:val="008F11B6"/>
    <w:rsid w:val="008F124A"/>
    <w:rsid w:val="008F21F8"/>
    <w:rsid w:val="008F349A"/>
    <w:rsid w:val="008F4626"/>
    <w:rsid w:val="008F4C4A"/>
    <w:rsid w:val="00900894"/>
    <w:rsid w:val="00902E38"/>
    <w:rsid w:val="00903D25"/>
    <w:rsid w:val="00904C11"/>
    <w:rsid w:val="009101DF"/>
    <w:rsid w:val="00910FF6"/>
    <w:rsid w:val="009114BA"/>
    <w:rsid w:val="00912D65"/>
    <w:rsid w:val="009164DB"/>
    <w:rsid w:val="0092410A"/>
    <w:rsid w:val="00924429"/>
    <w:rsid w:val="0092569C"/>
    <w:rsid w:val="00926608"/>
    <w:rsid w:val="00926ADB"/>
    <w:rsid w:val="00933FBB"/>
    <w:rsid w:val="009354E7"/>
    <w:rsid w:val="00935999"/>
    <w:rsid w:val="0094071E"/>
    <w:rsid w:val="00940D90"/>
    <w:rsid w:val="00941114"/>
    <w:rsid w:val="00941930"/>
    <w:rsid w:val="00943164"/>
    <w:rsid w:val="009437B1"/>
    <w:rsid w:val="00943BEA"/>
    <w:rsid w:val="00945EEF"/>
    <w:rsid w:val="009511F5"/>
    <w:rsid w:val="009558EA"/>
    <w:rsid w:val="00956A8D"/>
    <w:rsid w:val="00960062"/>
    <w:rsid w:val="00962254"/>
    <w:rsid w:val="00963E09"/>
    <w:rsid w:val="00965108"/>
    <w:rsid w:val="009714D5"/>
    <w:rsid w:val="009716EA"/>
    <w:rsid w:val="00975D11"/>
    <w:rsid w:val="00976F53"/>
    <w:rsid w:val="00977013"/>
    <w:rsid w:val="00980E48"/>
    <w:rsid w:val="0098270C"/>
    <w:rsid w:val="0098396A"/>
    <w:rsid w:val="00984C42"/>
    <w:rsid w:val="009921C9"/>
    <w:rsid w:val="009930C3"/>
    <w:rsid w:val="009951A5"/>
    <w:rsid w:val="0099523B"/>
    <w:rsid w:val="00995AFE"/>
    <w:rsid w:val="009A1A60"/>
    <w:rsid w:val="009A1C62"/>
    <w:rsid w:val="009A43AE"/>
    <w:rsid w:val="009A5748"/>
    <w:rsid w:val="009A6B27"/>
    <w:rsid w:val="009B01A5"/>
    <w:rsid w:val="009B05F2"/>
    <w:rsid w:val="009B07D7"/>
    <w:rsid w:val="009B1A68"/>
    <w:rsid w:val="009B447D"/>
    <w:rsid w:val="009B682D"/>
    <w:rsid w:val="009B6C01"/>
    <w:rsid w:val="009D0F2E"/>
    <w:rsid w:val="009D1065"/>
    <w:rsid w:val="009D3B9E"/>
    <w:rsid w:val="009D46CF"/>
    <w:rsid w:val="009D7B38"/>
    <w:rsid w:val="009E3458"/>
    <w:rsid w:val="009E6306"/>
    <w:rsid w:val="009E6ACD"/>
    <w:rsid w:val="009E6F3D"/>
    <w:rsid w:val="009E74D0"/>
    <w:rsid w:val="009E7E90"/>
    <w:rsid w:val="009F0A03"/>
    <w:rsid w:val="009F0A4C"/>
    <w:rsid w:val="009F0E6D"/>
    <w:rsid w:val="00A02F30"/>
    <w:rsid w:val="00A03FEE"/>
    <w:rsid w:val="00A04FF4"/>
    <w:rsid w:val="00A05066"/>
    <w:rsid w:val="00A069E2"/>
    <w:rsid w:val="00A078DA"/>
    <w:rsid w:val="00A1060C"/>
    <w:rsid w:val="00A10FC2"/>
    <w:rsid w:val="00A11647"/>
    <w:rsid w:val="00A13E56"/>
    <w:rsid w:val="00A26FFE"/>
    <w:rsid w:val="00A30135"/>
    <w:rsid w:val="00A314B3"/>
    <w:rsid w:val="00A40DC6"/>
    <w:rsid w:val="00A43002"/>
    <w:rsid w:val="00A46D22"/>
    <w:rsid w:val="00A47800"/>
    <w:rsid w:val="00A6102E"/>
    <w:rsid w:val="00A77B51"/>
    <w:rsid w:val="00A81EEC"/>
    <w:rsid w:val="00A82095"/>
    <w:rsid w:val="00A82C9F"/>
    <w:rsid w:val="00A86E2F"/>
    <w:rsid w:val="00A92A6C"/>
    <w:rsid w:val="00A93FDD"/>
    <w:rsid w:val="00AA21BB"/>
    <w:rsid w:val="00AA32E5"/>
    <w:rsid w:val="00AA66B7"/>
    <w:rsid w:val="00AA7693"/>
    <w:rsid w:val="00AB2739"/>
    <w:rsid w:val="00AB4985"/>
    <w:rsid w:val="00AC0607"/>
    <w:rsid w:val="00AC1774"/>
    <w:rsid w:val="00AC4510"/>
    <w:rsid w:val="00AC55DA"/>
    <w:rsid w:val="00AC5C66"/>
    <w:rsid w:val="00AC7743"/>
    <w:rsid w:val="00AC7A77"/>
    <w:rsid w:val="00AD5320"/>
    <w:rsid w:val="00AE0870"/>
    <w:rsid w:val="00AE3B7E"/>
    <w:rsid w:val="00AE5060"/>
    <w:rsid w:val="00AE693A"/>
    <w:rsid w:val="00AF0DBD"/>
    <w:rsid w:val="00AF3226"/>
    <w:rsid w:val="00AF32B0"/>
    <w:rsid w:val="00AF5D85"/>
    <w:rsid w:val="00AF7067"/>
    <w:rsid w:val="00B01DC5"/>
    <w:rsid w:val="00B0224E"/>
    <w:rsid w:val="00B02C67"/>
    <w:rsid w:val="00B05C38"/>
    <w:rsid w:val="00B05F0A"/>
    <w:rsid w:val="00B07D71"/>
    <w:rsid w:val="00B117D3"/>
    <w:rsid w:val="00B14A0D"/>
    <w:rsid w:val="00B1561A"/>
    <w:rsid w:val="00B15FDE"/>
    <w:rsid w:val="00B2082B"/>
    <w:rsid w:val="00B20B31"/>
    <w:rsid w:val="00B218C6"/>
    <w:rsid w:val="00B21C62"/>
    <w:rsid w:val="00B23CA6"/>
    <w:rsid w:val="00B26466"/>
    <w:rsid w:val="00B31D29"/>
    <w:rsid w:val="00B3237D"/>
    <w:rsid w:val="00B334C5"/>
    <w:rsid w:val="00B34FBC"/>
    <w:rsid w:val="00B418FB"/>
    <w:rsid w:val="00B4357D"/>
    <w:rsid w:val="00B435DF"/>
    <w:rsid w:val="00B506DE"/>
    <w:rsid w:val="00B51DCF"/>
    <w:rsid w:val="00B53410"/>
    <w:rsid w:val="00B661C0"/>
    <w:rsid w:val="00B6772E"/>
    <w:rsid w:val="00B72509"/>
    <w:rsid w:val="00B728E6"/>
    <w:rsid w:val="00B76382"/>
    <w:rsid w:val="00B824E4"/>
    <w:rsid w:val="00B92182"/>
    <w:rsid w:val="00B96724"/>
    <w:rsid w:val="00B97511"/>
    <w:rsid w:val="00BA5007"/>
    <w:rsid w:val="00BA717B"/>
    <w:rsid w:val="00BB0C24"/>
    <w:rsid w:val="00BB18BE"/>
    <w:rsid w:val="00BB4C70"/>
    <w:rsid w:val="00BC2476"/>
    <w:rsid w:val="00BC2A2C"/>
    <w:rsid w:val="00BC448E"/>
    <w:rsid w:val="00BD0075"/>
    <w:rsid w:val="00BD202D"/>
    <w:rsid w:val="00BD228B"/>
    <w:rsid w:val="00BD38D8"/>
    <w:rsid w:val="00BD4165"/>
    <w:rsid w:val="00BD5852"/>
    <w:rsid w:val="00BD5BEF"/>
    <w:rsid w:val="00BD7E76"/>
    <w:rsid w:val="00BE4F8B"/>
    <w:rsid w:val="00BE56DA"/>
    <w:rsid w:val="00BE7B36"/>
    <w:rsid w:val="00BE7F2D"/>
    <w:rsid w:val="00BF0C25"/>
    <w:rsid w:val="00BF3F79"/>
    <w:rsid w:val="00BF4879"/>
    <w:rsid w:val="00BF700A"/>
    <w:rsid w:val="00BF7A07"/>
    <w:rsid w:val="00C0038E"/>
    <w:rsid w:val="00C016CA"/>
    <w:rsid w:val="00C01F6D"/>
    <w:rsid w:val="00C0365E"/>
    <w:rsid w:val="00C06BB5"/>
    <w:rsid w:val="00C0703D"/>
    <w:rsid w:val="00C07F76"/>
    <w:rsid w:val="00C11FF6"/>
    <w:rsid w:val="00C166CE"/>
    <w:rsid w:val="00C1739B"/>
    <w:rsid w:val="00C20B63"/>
    <w:rsid w:val="00C22CD0"/>
    <w:rsid w:val="00C245B7"/>
    <w:rsid w:val="00C255BF"/>
    <w:rsid w:val="00C26250"/>
    <w:rsid w:val="00C30F4C"/>
    <w:rsid w:val="00C325F7"/>
    <w:rsid w:val="00C3308F"/>
    <w:rsid w:val="00C4435A"/>
    <w:rsid w:val="00C45112"/>
    <w:rsid w:val="00C47C2D"/>
    <w:rsid w:val="00C52990"/>
    <w:rsid w:val="00C56C76"/>
    <w:rsid w:val="00C574B6"/>
    <w:rsid w:val="00C57DC7"/>
    <w:rsid w:val="00C60A20"/>
    <w:rsid w:val="00C60CD3"/>
    <w:rsid w:val="00C60EEA"/>
    <w:rsid w:val="00C62AAD"/>
    <w:rsid w:val="00C646BC"/>
    <w:rsid w:val="00C66ED0"/>
    <w:rsid w:val="00C70879"/>
    <w:rsid w:val="00C71DE2"/>
    <w:rsid w:val="00C73C3F"/>
    <w:rsid w:val="00C74CFB"/>
    <w:rsid w:val="00C7516D"/>
    <w:rsid w:val="00C761E4"/>
    <w:rsid w:val="00C77608"/>
    <w:rsid w:val="00C8489F"/>
    <w:rsid w:val="00C8620C"/>
    <w:rsid w:val="00C86C11"/>
    <w:rsid w:val="00C95552"/>
    <w:rsid w:val="00C9601B"/>
    <w:rsid w:val="00C970E0"/>
    <w:rsid w:val="00CA040F"/>
    <w:rsid w:val="00CA6B28"/>
    <w:rsid w:val="00CA6B58"/>
    <w:rsid w:val="00CA76F8"/>
    <w:rsid w:val="00CB3B30"/>
    <w:rsid w:val="00CB4194"/>
    <w:rsid w:val="00CB7FE7"/>
    <w:rsid w:val="00CC6C68"/>
    <w:rsid w:val="00CD1190"/>
    <w:rsid w:val="00CD36D6"/>
    <w:rsid w:val="00CD4D1E"/>
    <w:rsid w:val="00CE70B8"/>
    <w:rsid w:val="00CE7418"/>
    <w:rsid w:val="00CE7C3D"/>
    <w:rsid w:val="00CF0925"/>
    <w:rsid w:val="00CF1500"/>
    <w:rsid w:val="00D02093"/>
    <w:rsid w:val="00D038BF"/>
    <w:rsid w:val="00D1057F"/>
    <w:rsid w:val="00D1383F"/>
    <w:rsid w:val="00D15CB8"/>
    <w:rsid w:val="00D17DDD"/>
    <w:rsid w:val="00D2186C"/>
    <w:rsid w:val="00D24095"/>
    <w:rsid w:val="00D2682B"/>
    <w:rsid w:val="00D26B8D"/>
    <w:rsid w:val="00D275AC"/>
    <w:rsid w:val="00D277F2"/>
    <w:rsid w:val="00D450D1"/>
    <w:rsid w:val="00D460CE"/>
    <w:rsid w:val="00D47A87"/>
    <w:rsid w:val="00D47D94"/>
    <w:rsid w:val="00D51A04"/>
    <w:rsid w:val="00D51B51"/>
    <w:rsid w:val="00D52029"/>
    <w:rsid w:val="00D53511"/>
    <w:rsid w:val="00D56DAF"/>
    <w:rsid w:val="00D602B4"/>
    <w:rsid w:val="00D6142A"/>
    <w:rsid w:val="00D65EA6"/>
    <w:rsid w:val="00D6676A"/>
    <w:rsid w:val="00D67106"/>
    <w:rsid w:val="00D67761"/>
    <w:rsid w:val="00D71B3F"/>
    <w:rsid w:val="00D73067"/>
    <w:rsid w:val="00D80F47"/>
    <w:rsid w:val="00D81AEE"/>
    <w:rsid w:val="00D84832"/>
    <w:rsid w:val="00D91D88"/>
    <w:rsid w:val="00D938B3"/>
    <w:rsid w:val="00DA1B0E"/>
    <w:rsid w:val="00DA22AE"/>
    <w:rsid w:val="00DA46BA"/>
    <w:rsid w:val="00DB5F30"/>
    <w:rsid w:val="00DC0320"/>
    <w:rsid w:val="00DC495B"/>
    <w:rsid w:val="00DC4DA2"/>
    <w:rsid w:val="00DC607C"/>
    <w:rsid w:val="00DD0368"/>
    <w:rsid w:val="00DD2A8F"/>
    <w:rsid w:val="00DD52DA"/>
    <w:rsid w:val="00DE062D"/>
    <w:rsid w:val="00DE113F"/>
    <w:rsid w:val="00DE1B95"/>
    <w:rsid w:val="00DE1EE8"/>
    <w:rsid w:val="00DE3FF7"/>
    <w:rsid w:val="00DE46DA"/>
    <w:rsid w:val="00DE4C7D"/>
    <w:rsid w:val="00DF6117"/>
    <w:rsid w:val="00DF6517"/>
    <w:rsid w:val="00E001A5"/>
    <w:rsid w:val="00E006ED"/>
    <w:rsid w:val="00E06289"/>
    <w:rsid w:val="00E1221D"/>
    <w:rsid w:val="00E132E0"/>
    <w:rsid w:val="00E14E5C"/>
    <w:rsid w:val="00E16A91"/>
    <w:rsid w:val="00E175DC"/>
    <w:rsid w:val="00E25171"/>
    <w:rsid w:val="00E2584B"/>
    <w:rsid w:val="00E264DB"/>
    <w:rsid w:val="00E26B41"/>
    <w:rsid w:val="00E3108E"/>
    <w:rsid w:val="00E32721"/>
    <w:rsid w:val="00E32B81"/>
    <w:rsid w:val="00E33BB9"/>
    <w:rsid w:val="00E35F49"/>
    <w:rsid w:val="00E3746E"/>
    <w:rsid w:val="00E43C0C"/>
    <w:rsid w:val="00E453F9"/>
    <w:rsid w:val="00E45643"/>
    <w:rsid w:val="00E46C0B"/>
    <w:rsid w:val="00E50310"/>
    <w:rsid w:val="00E54F80"/>
    <w:rsid w:val="00E62CDA"/>
    <w:rsid w:val="00E64D47"/>
    <w:rsid w:val="00E663EB"/>
    <w:rsid w:val="00E664D6"/>
    <w:rsid w:val="00E66C3F"/>
    <w:rsid w:val="00E6762B"/>
    <w:rsid w:val="00E70094"/>
    <w:rsid w:val="00E8286D"/>
    <w:rsid w:val="00E85393"/>
    <w:rsid w:val="00E853A3"/>
    <w:rsid w:val="00E90B1F"/>
    <w:rsid w:val="00E95D28"/>
    <w:rsid w:val="00E96B71"/>
    <w:rsid w:val="00E97EB1"/>
    <w:rsid w:val="00EA1D18"/>
    <w:rsid w:val="00EA2E29"/>
    <w:rsid w:val="00EA5C11"/>
    <w:rsid w:val="00EA5D37"/>
    <w:rsid w:val="00EA7984"/>
    <w:rsid w:val="00EB15E3"/>
    <w:rsid w:val="00EB1A8A"/>
    <w:rsid w:val="00EB26B9"/>
    <w:rsid w:val="00EB3D10"/>
    <w:rsid w:val="00EB6205"/>
    <w:rsid w:val="00EC2012"/>
    <w:rsid w:val="00EC47E8"/>
    <w:rsid w:val="00EC4DC5"/>
    <w:rsid w:val="00EC5CC4"/>
    <w:rsid w:val="00EC6D39"/>
    <w:rsid w:val="00ED0892"/>
    <w:rsid w:val="00ED52A0"/>
    <w:rsid w:val="00EE16BA"/>
    <w:rsid w:val="00EE1907"/>
    <w:rsid w:val="00EE3586"/>
    <w:rsid w:val="00EE4836"/>
    <w:rsid w:val="00EE5765"/>
    <w:rsid w:val="00EE6E58"/>
    <w:rsid w:val="00EE76A1"/>
    <w:rsid w:val="00EF257C"/>
    <w:rsid w:val="00EF4708"/>
    <w:rsid w:val="00EF4836"/>
    <w:rsid w:val="00F005A3"/>
    <w:rsid w:val="00F01491"/>
    <w:rsid w:val="00F150DA"/>
    <w:rsid w:val="00F16EC2"/>
    <w:rsid w:val="00F21391"/>
    <w:rsid w:val="00F214C7"/>
    <w:rsid w:val="00F2260F"/>
    <w:rsid w:val="00F238BF"/>
    <w:rsid w:val="00F26947"/>
    <w:rsid w:val="00F30D2D"/>
    <w:rsid w:val="00F3131D"/>
    <w:rsid w:val="00F3485A"/>
    <w:rsid w:val="00F367B4"/>
    <w:rsid w:val="00F4158F"/>
    <w:rsid w:val="00F42923"/>
    <w:rsid w:val="00F43245"/>
    <w:rsid w:val="00F43779"/>
    <w:rsid w:val="00F4525A"/>
    <w:rsid w:val="00F46428"/>
    <w:rsid w:val="00F47114"/>
    <w:rsid w:val="00F50B6E"/>
    <w:rsid w:val="00F516DF"/>
    <w:rsid w:val="00F52756"/>
    <w:rsid w:val="00F5338F"/>
    <w:rsid w:val="00F539F3"/>
    <w:rsid w:val="00F573A8"/>
    <w:rsid w:val="00F632D3"/>
    <w:rsid w:val="00F63777"/>
    <w:rsid w:val="00F708D1"/>
    <w:rsid w:val="00F714ED"/>
    <w:rsid w:val="00F72970"/>
    <w:rsid w:val="00F73D20"/>
    <w:rsid w:val="00F74BEE"/>
    <w:rsid w:val="00F750BC"/>
    <w:rsid w:val="00F762FC"/>
    <w:rsid w:val="00F77636"/>
    <w:rsid w:val="00F823C9"/>
    <w:rsid w:val="00F847A6"/>
    <w:rsid w:val="00F861DC"/>
    <w:rsid w:val="00F870D0"/>
    <w:rsid w:val="00F87682"/>
    <w:rsid w:val="00F92266"/>
    <w:rsid w:val="00F93A31"/>
    <w:rsid w:val="00F94815"/>
    <w:rsid w:val="00F94DCD"/>
    <w:rsid w:val="00F955AB"/>
    <w:rsid w:val="00F9707D"/>
    <w:rsid w:val="00FA174B"/>
    <w:rsid w:val="00FA3EAC"/>
    <w:rsid w:val="00FA5E45"/>
    <w:rsid w:val="00FB13CE"/>
    <w:rsid w:val="00FB23E7"/>
    <w:rsid w:val="00FC39F0"/>
    <w:rsid w:val="00FC3CE0"/>
    <w:rsid w:val="00FC611B"/>
    <w:rsid w:val="00FD0559"/>
    <w:rsid w:val="00FD3594"/>
    <w:rsid w:val="00FE08C8"/>
    <w:rsid w:val="00FE2154"/>
    <w:rsid w:val="00FE4B26"/>
    <w:rsid w:val="00FF0A78"/>
    <w:rsid w:val="00FF1017"/>
    <w:rsid w:val="00FF115F"/>
    <w:rsid w:val="00FF33BB"/>
    <w:rsid w:val="00FF42B0"/>
    <w:rsid w:val="00FF447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59D6412-4371-42D9-8862-D96E2F00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pPr>
      <w:tabs>
        <w:tab w:val="center" w:pos="4536"/>
        <w:tab w:val="right" w:pos="9072"/>
      </w:tabs>
    </w:pPr>
  </w:style>
  <w:style w:type="paragraph" w:customStyle="1" w:styleId="Default">
    <w:name w:val="Default"/>
    <w:pPr>
      <w:autoSpaceDE w:val="0"/>
      <w:autoSpaceDN w:val="0"/>
      <w:adjustRightInd w:val="0"/>
    </w:pPr>
    <w:rPr>
      <w:lang w:val="fr-FR" w:eastAsia="fr-FR"/>
    </w:rPr>
  </w:style>
  <w:style w:type="paragraph" w:customStyle="1" w:styleId="BodyTextIndent2">
    <w:name w:val="Body Text Indent 2"/>
    <w:basedOn w:val="Normal"/>
    <w:pPr>
      <w:ind w:left="1701" w:firstLine="567"/>
      <w:jc w:val="both"/>
    </w:pPr>
    <w:rPr>
      <w:szCs w:val="20"/>
    </w:rPr>
  </w:style>
  <w:style w:type="paragraph" w:customStyle="1" w:styleId="Projet">
    <w:name w:val="Projet"/>
    <w:basedOn w:val="Normal"/>
    <w:pPr>
      <w:ind w:left="1701"/>
      <w:jc w:val="both"/>
    </w:pPr>
    <w:rPr>
      <w:b/>
      <w:sz w:val="28"/>
      <w:szCs w:val="20"/>
    </w:rPr>
  </w:style>
  <w:style w:type="character" w:styleId="Numrodepage">
    <w:name w:val="page number"/>
    <w:basedOn w:val="Policepardfaut"/>
    <w:rsid w:val="003A7BD1"/>
  </w:style>
  <w:style w:type="paragraph" w:styleId="Textedebulles">
    <w:name w:val="Balloon Text"/>
    <w:basedOn w:val="Normal"/>
    <w:semiHidden/>
    <w:rsid w:val="00FF42B0"/>
    <w:rPr>
      <w:rFonts w:ascii="Tahoma" w:hAnsi="Tahoma" w:cs="Tahoma"/>
      <w:sz w:val="16"/>
      <w:szCs w:val="16"/>
    </w:rPr>
  </w:style>
  <w:style w:type="table" w:styleId="Grilledutableau">
    <w:name w:val="Table Grid"/>
    <w:basedOn w:val="TableauNormal"/>
    <w:rsid w:val="00C64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32091F"/>
    <w:rPr>
      <w:b/>
      <w:bCs/>
      <w:lang w:val="fr-CH"/>
    </w:rPr>
  </w:style>
  <w:style w:type="character" w:customStyle="1" w:styleId="CorpsdetexteCar">
    <w:name w:val="Corps de texte Car"/>
    <w:basedOn w:val="Policepardfaut"/>
    <w:link w:val="Corpsdetexte"/>
    <w:rsid w:val="0032091F"/>
    <w:rPr>
      <w:b/>
      <w:bCs/>
      <w:sz w:val="24"/>
      <w:szCs w:val="24"/>
      <w:lang w:val="fr-CH" w:eastAsia="fr-FR"/>
    </w:rPr>
  </w:style>
  <w:style w:type="paragraph" w:styleId="Paragraphedeliste">
    <w:name w:val="List Paragraph"/>
    <w:basedOn w:val="Normal"/>
    <w:uiPriority w:val="34"/>
    <w:qFormat/>
    <w:rsid w:val="006D5D6F"/>
    <w:pPr>
      <w:spacing w:after="200" w:line="276" w:lineRule="auto"/>
      <w:ind w:left="720"/>
      <w:contextualSpacing/>
    </w:pPr>
    <w:rPr>
      <w:rFonts w:ascii="Calibri" w:eastAsia="Calibri" w:hAnsi="Calibri"/>
      <w:sz w:val="22"/>
      <w:szCs w:val="22"/>
      <w:lang w:eastAsia="en-US"/>
    </w:rPr>
  </w:style>
  <w:style w:type="paragraph" w:customStyle="1" w:styleId="Pa7">
    <w:name w:val="Pa7"/>
    <w:basedOn w:val="Default"/>
    <w:next w:val="Default"/>
    <w:uiPriority w:val="99"/>
    <w:rsid w:val="00196A29"/>
    <w:pPr>
      <w:spacing w:line="201" w:lineRule="atLeast"/>
    </w:pPr>
    <w:rPr>
      <w:sz w:val="24"/>
      <w:szCs w:val="24"/>
      <w:lang w:val="fr-LU" w:eastAsia="fr-LU"/>
    </w:rPr>
  </w:style>
  <w:style w:type="paragraph" w:customStyle="1" w:styleId="Pa13">
    <w:name w:val="Pa13"/>
    <w:basedOn w:val="Default"/>
    <w:next w:val="Default"/>
    <w:uiPriority w:val="99"/>
    <w:rsid w:val="00196A29"/>
    <w:pPr>
      <w:spacing w:line="201" w:lineRule="atLeast"/>
    </w:pPr>
    <w:rPr>
      <w:sz w:val="24"/>
      <w:szCs w:val="24"/>
      <w:lang w:val="fr-LU" w:eastAsia="fr-LU"/>
    </w:rPr>
  </w:style>
  <w:style w:type="paragraph" w:customStyle="1" w:styleId="Pa5">
    <w:name w:val="Pa5"/>
    <w:basedOn w:val="Default"/>
    <w:next w:val="Default"/>
    <w:uiPriority w:val="99"/>
    <w:rsid w:val="00196A29"/>
    <w:pPr>
      <w:spacing w:line="201" w:lineRule="atLeast"/>
    </w:pPr>
    <w:rPr>
      <w:sz w:val="24"/>
      <w:szCs w:val="24"/>
      <w:lang w:val="fr-LU" w:eastAsia="fr-LU"/>
    </w:rPr>
  </w:style>
  <w:style w:type="paragraph" w:customStyle="1" w:styleId="Pa15">
    <w:name w:val="Pa15"/>
    <w:basedOn w:val="Default"/>
    <w:next w:val="Default"/>
    <w:uiPriority w:val="99"/>
    <w:rsid w:val="00196A29"/>
    <w:pPr>
      <w:spacing w:line="201" w:lineRule="atLeast"/>
    </w:pPr>
    <w:rPr>
      <w:sz w:val="24"/>
      <w:szCs w:val="24"/>
      <w:lang w:val="fr-LU" w:eastAsia="fr-LU"/>
    </w:rPr>
  </w:style>
  <w:style w:type="paragraph" w:customStyle="1" w:styleId="Pa14">
    <w:name w:val="Pa14"/>
    <w:basedOn w:val="Default"/>
    <w:next w:val="Default"/>
    <w:uiPriority w:val="99"/>
    <w:rsid w:val="00C245B7"/>
    <w:pPr>
      <w:spacing w:line="201" w:lineRule="atLeast"/>
    </w:pPr>
    <w:rPr>
      <w:sz w:val="24"/>
      <w:szCs w:val="24"/>
      <w:lang w:val="fr-LU" w:eastAsia="fr-LU"/>
    </w:rPr>
  </w:style>
  <w:style w:type="paragraph" w:styleId="NormalWeb">
    <w:name w:val="Normal (Web)"/>
    <w:basedOn w:val="Normal"/>
    <w:rsid w:val="00590948"/>
    <w:pPr>
      <w:spacing w:before="100" w:beforeAutospacing="1" w:after="100" w:afterAutospacing="1"/>
    </w:pPr>
    <w:rPr>
      <w:color w:val="5A6D8E"/>
      <w:lang w:val="en-US" w:eastAsia="en-US"/>
    </w:rPr>
  </w:style>
  <w:style w:type="paragraph" w:styleId="Retraitcorpsdetexte3">
    <w:name w:val="Body Text Indent 3"/>
    <w:basedOn w:val="Normal"/>
    <w:link w:val="Retraitcorpsdetexte3Car"/>
    <w:uiPriority w:val="99"/>
    <w:semiHidden/>
    <w:unhideWhenUsed/>
    <w:rsid w:val="00B218C6"/>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218C6"/>
    <w:rPr>
      <w:sz w:val="16"/>
      <w:szCs w:val="16"/>
      <w:lang w:val="fr-FR" w:eastAsia="fr-FR"/>
    </w:rPr>
  </w:style>
  <w:style w:type="paragraph" w:styleId="Notedebasdepage">
    <w:name w:val="footnote text"/>
    <w:basedOn w:val="Normal"/>
    <w:link w:val="NotedebasdepageCar"/>
    <w:semiHidden/>
    <w:rsid w:val="004702A7"/>
    <w:pPr>
      <w:autoSpaceDE w:val="0"/>
      <w:autoSpaceDN w:val="0"/>
    </w:pPr>
    <w:rPr>
      <w:sz w:val="20"/>
      <w:szCs w:val="20"/>
    </w:rPr>
  </w:style>
  <w:style w:type="character" w:customStyle="1" w:styleId="NotedebasdepageCar">
    <w:name w:val="Note de bas de page Car"/>
    <w:basedOn w:val="Policepardfaut"/>
    <w:link w:val="Notedebasdepage"/>
    <w:semiHidden/>
    <w:rsid w:val="004702A7"/>
    <w:rPr>
      <w:lang w:val="fr-FR" w:eastAsia="fr-FR"/>
    </w:rPr>
  </w:style>
  <w:style w:type="character" w:styleId="Appelnotedebasdep">
    <w:name w:val="footnote reference"/>
    <w:semiHidden/>
    <w:rsid w:val="004702A7"/>
    <w:rPr>
      <w:vertAlign w:val="superscript"/>
    </w:rPr>
  </w:style>
  <w:style w:type="paragraph" w:customStyle="1" w:styleId="1TEXTE">
    <w:name w:val="1     TEXTE"/>
    <w:basedOn w:val="Normal"/>
    <w:link w:val="1TEXTEChar"/>
    <w:rsid w:val="009E74D0"/>
    <w:pPr>
      <w:spacing w:after="240" w:line="360" w:lineRule="auto"/>
      <w:ind w:left="1985" w:hanging="851"/>
      <w:jc w:val="both"/>
    </w:pPr>
    <w:rPr>
      <w:rFonts w:ascii="Garamond" w:hAnsi="Garamond"/>
      <w:sz w:val="20"/>
      <w:szCs w:val="20"/>
      <w:lang w:eastAsia="en-US"/>
    </w:rPr>
  </w:style>
  <w:style w:type="character" w:customStyle="1" w:styleId="1TEXTEChar">
    <w:name w:val="1     TEXTE Char"/>
    <w:basedOn w:val="Policepardfaut"/>
    <w:link w:val="1TEXTE"/>
    <w:rsid w:val="009E74D0"/>
    <w:rPr>
      <w:rFonts w:ascii="Garamond" w:hAnsi="Garamond"/>
      <w:lang w:val="fr-FR" w:eastAsia="en-US"/>
    </w:rPr>
  </w:style>
  <w:style w:type="paragraph" w:customStyle="1" w:styleId="1IndentBulletTEXTE">
    <w:name w:val="1     Indent Bullet TEXTE"/>
    <w:basedOn w:val="Normal"/>
    <w:rsid w:val="009E74D0"/>
    <w:pPr>
      <w:numPr>
        <w:numId w:val="21"/>
      </w:numPr>
      <w:spacing w:afterLines="100" w:line="360" w:lineRule="auto"/>
      <w:jc w:val="both"/>
    </w:pPr>
    <w:rPr>
      <w:rFonts w:ascii="Garamond" w:eastAsia="Calibri" w:hAnsi="Garamond"/>
      <w:sz w:val="20"/>
      <w:szCs w:val="20"/>
      <w:lang w:val="fr-LU" w:eastAsia="en-GB"/>
    </w:rPr>
  </w:style>
  <w:style w:type="paragraph" w:customStyle="1" w:styleId="1IndentIndentBulletTEXTE">
    <w:name w:val="1   Indent Indent Bullet TEXTE"/>
    <w:basedOn w:val="1TEXTE"/>
    <w:rsid w:val="009E74D0"/>
    <w:pPr>
      <w:numPr>
        <w:ilvl w:val="1"/>
        <w:numId w:val="21"/>
      </w:numPr>
      <w:tabs>
        <w:tab w:val="clear" w:pos="3069"/>
        <w:tab w:val="num" w:pos="2353"/>
      </w:tabs>
      <w:ind w:left="2353" w:hanging="362"/>
    </w:pPr>
  </w:style>
  <w:style w:type="paragraph" w:customStyle="1" w:styleId="1IndBulletIndTEXTE">
    <w:name w:val="1   Ind Bullet Ind TEXTE"/>
    <w:basedOn w:val="1IndentBulletTEXTE"/>
    <w:rsid w:val="009E74D0"/>
    <w:pPr>
      <w:tabs>
        <w:tab w:val="clear" w:pos="2349"/>
        <w:tab w:val="num" w:pos="2353"/>
      </w:tabs>
      <w:ind w:left="235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36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DP6440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6440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/sftpecos/Dossiers_parlementaires/6440/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FADA4EB-D2D1-4A7C-9D79-736ACBD061F5}"/>
</file>

<file path=customXml/itemProps2.xml><?xml version="1.0" encoding="utf-8"?>
<ds:datastoreItem xmlns:ds="http://schemas.openxmlformats.org/officeDocument/2006/customXml" ds:itemID="{66563AA0-9887-484F-A2DF-21552AFD0296}"/>
</file>

<file path=customXml/itemProps3.xml><?xml version="1.0" encoding="utf-8"?>
<ds:datastoreItem xmlns:ds="http://schemas.openxmlformats.org/officeDocument/2006/customXml" ds:itemID="{6076F6F0-43C1-4FD1-992F-36A3A3EEA46D}"/>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3383</Characters>
  <Application>Microsoft Office Word</Application>
  <DocSecurity>4</DocSecurity>
  <Lines>28</Lines>
  <Paragraphs>7</Paragraphs>
  <ScaleCrop>false</ScaleCrop>
  <HeadingPairs>
    <vt:vector size="2" baseType="variant">
      <vt:variant>
        <vt:lpstr>Titre</vt:lpstr>
      </vt:variant>
      <vt:variant>
        <vt:i4>1</vt:i4>
      </vt:variant>
    </vt:vector>
  </HeadingPairs>
  <TitlesOfParts>
    <vt:vector size="1" baseType="lpstr">
      <vt:lpstr>N° 4938</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Guezennec Caroline</dc:creator>
  <cp:keywords/>
  <cp:lastModifiedBy>SYSTEM</cp:lastModifiedBy>
  <cp:revision>2</cp:revision>
  <cp:lastPrinted>2012-11-27T09:37:00Z</cp:lastPrinted>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