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335" w:rsidRPr="00DB1CA3" w:rsidRDefault="006B5335" w:rsidP="006B5335">
      <w:pPr>
        <w:jc w:val="center"/>
        <w:rPr>
          <w:rFonts w:ascii="Arial" w:hAnsi="Arial" w:cs="Arial"/>
          <w:b/>
          <w:sz w:val="28"/>
          <w:szCs w:val="28"/>
        </w:rPr>
      </w:pPr>
      <w:bookmarkStart w:id="0" w:name="_GoBack"/>
      <w:bookmarkEnd w:id="0"/>
      <w:r>
        <w:rPr>
          <w:rFonts w:ascii="Arial" w:hAnsi="Arial" w:cs="Arial"/>
          <w:b/>
          <w:sz w:val="28"/>
          <w:szCs w:val="28"/>
        </w:rPr>
        <w:t xml:space="preserve">6434 </w:t>
      </w:r>
      <w:r w:rsidRPr="00DB1CA3">
        <w:rPr>
          <w:rFonts w:ascii="Arial" w:hAnsi="Arial" w:cs="Arial"/>
          <w:b/>
          <w:sz w:val="28"/>
          <w:szCs w:val="28"/>
        </w:rPr>
        <w:t>Débat d'orientation sur la politique en matière d'emploi</w:t>
      </w:r>
    </w:p>
    <w:p w:rsidR="00BB3123" w:rsidRDefault="00BB3123"/>
    <w:p w:rsidR="006B5335" w:rsidRDefault="006B5335" w:rsidP="006B5335">
      <w:pPr>
        <w:jc w:val="both"/>
        <w:rPr>
          <w:rFonts w:ascii="Arial" w:hAnsi="Arial" w:cs="Arial"/>
          <w:sz w:val="22"/>
          <w:szCs w:val="22"/>
        </w:rPr>
      </w:pPr>
      <w:r>
        <w:rPr>
          <w:rFonts w:ascii="Arial" w:hAnsi="Arial" w:cs="Arial"/>
          <w:sz w:val="22"/>
          <w:szCs w:val="22"/>
        </w:rPr>
        <w:t>Les antécédents qui ont abouti à l'organisation du débat d'orientation sur la politique en matière de l'emploi sont les suivants:</w:t>
      </w:r>
    </w:p>
    <w:p w:rsidR="006B5335" w:rsidRDefault="006B5335" w:rsidP="006B5335">
      <w:pPr>
        <w:jc w:val="both"/>
        <w:rPr>
          <w:rFonts w:ascii="Arial" w:hAnsi="Arial" w:cs="Arial"/>
          <w:sz w:val="22"/>
          <w:szCs w:val="22"/>
        </w:rPr>
      </w:pPr>
    </w:p>
    <w:p w:rsidR="006B5335" w:rsidRPr="006B5335" w:rsidRDefault="006B5335" w:rsidP="006B5335">
      <w:pPr>
        <w:pStyle w:val="Paragraphedeliste"/>
        <w:numPr>
          <w:ilvl w:val="0"/>
          <w:numId w:val="8"/>
        </w:numPr>
        <w:ind w:left="360"/>
        <w:jc w:val="both"/>
        <w:rPr>
          <w:rFonts w:cs="Arial"/>
        </w:rPr>
      </w:pPr>
      <w:r w:rsidRPr="006B5335">
        <w:rPr>
          <w:rFonts w:cs="Arial"/>
        </w:rPr>
        <w:t>une première demande a été introduite par le groupe parlementaire DP le 12 décembre 2011, visant l'organisation d'un débat d'orientation au sujet de la politique en matière d'emploi, ceci "devant la toile de fond du rapport spécial de la Cour des Comptes portant sur certaines mesures prises dans le cadre de la lutte contre le chômage";</w:t>
      </w:r>
    </w:p>
    <w:p w:rsidR="006B5335" w:rsidRDefault="006B5335" w:rsidP="006B5335">
      <w:pPr>
        <w:jc w:val="both"/>
        <w:rPr>
          <w:rFonts w:ascii="Arial" w:hAnsi="Arial" w:cs="Arial"/>
          <w:sz w:val="22"/>
          <w:szCs w:val="22"/>
        </w:rPr>
      </w:pPr>
    </w:p>
    <w:p w:rsidR="006B5335" w:rsidRPr="006B5335" w:rsidRDefault="006B5335" w:rsidP="006B5335">
      <w:pPr>
        <w:pStyle w:val="Paragraphedeliste"/>
        <w:numPr>
          <w:ilvl w:val="0"/>
          <w:numId w:val="8"/>
        </w:numPr>
        <w:ind w:left="360"/>
        <w:jc w:val="both"/>
        <w:rPr>
          <w:rFonts w:cs="Arial"/>
        </w:rPr>
      </w:pPr>
      <w:r w:rsidRPr="006B5335">
        <w:rPr>
          <w:rFonts w:cs="Arial"/>
        </w:rPr>
        <w:t>une deuxième demande du groupe parlementaire "déi gréng" a proposé un débat d'orientation "au sujet des stratégies à court, moyen et long terme afin de combattre l'évolution négative sur le marché de l'emploi".</w:t>
      </w:r>
    </w:p>
    <w:p w:rsidR="006B5335" w:rsidRDefault="006B5335" w:rsidP="006B5335">
      <w:pPr>
        <w:jc w:val="both"/>
        <w:rPr>
          <w:rFonts w:ascii="Arial" w:hAnsi="Arial" w:cs="Arial"/>
          <w:sz w:val="22"/>
          <w:szCs w:val="22"/>
        </w:rPr>
      </w:pPr>
    </w:p>
    <w:p w:rsidR="006B5335" w:rsidRDefault="006B5335" w:rsidP="006B5335">
      <w:pPr>
        <w:rPr>
          <w:rFonts w:ascii="Arial" w:hAnsi="Arial" w:cs="Arial"/>
          <w:sz w:val="22"/>
          <w:szCs w:val="22"/>
        </w:rPr>
      </w:pPr>
      <w:r>
        <w:rPr>
          <w:rFonts w:ascii="Arial" w:hAnsi="Arial" w:cs="Arial"/>
          <w:sz w:val="22"/>
          <w:szCs w:val="22"/>
        </w:rPr>
        <w:t xml:space="preserve">Compte tenu des deux demandes, le sujet du débat d'orientation a été élargi à la politique en matière d'emploi en général. Dans sa réunion du 18 juin 2012, la </w:t>
      </w:r>
      <w:r w:rsidR="000D69CB">
        <w:rPr>
          <w:rFonts w:ascii="Arial" w:hAnsi="Arial" w:cs="Arial"/>
          <w:sz w:val="22"/>
          <w:szCs w:val="22"/>
        </w:rPr>
        <w:t>C</w:t>
      </w:r>
      <w:r>
        <w:rPr>
          <w:rFonts w:ascii="Arial" w:hAnsi="Arial" w:cs="Arial"/>
          <w:sz w:val="22"/>
          <w:szCs w:val="22"/>
        </w:rPr>
        <w:t>ommission</w:t>
      </w:r>
      <w:r w:rsidR="000D69CB">
        <w:rPr>
          <w:rFonts w:ascii="Arial" w:hAnsi="Arial" w:cs="Arial"/>
          <w:sz w:val="22"/>
          <w:szCs w:val="22"/>
        </w:rPr>
        <w:t xml:space="preserve"> du Travail et de l'Emploi</w:t>
      </w:r>
      <w:r>
        <w:rPr>
          <w:rFonts w:ascii="Arial" w:hAnsi="Arial" w:cs="Arial"/>
          <w:sz w:val="22"/>
          <w:szCs w:val="22"/>
        </w:rPr>
        <w:t xml:space="preserve"> a organisé ses travaux.</w:t>
      </w:r>
    </w:p>
    <w:p w:rsidR="006B5335" w:rsidRDefault="006B5335" w:rsidP="006B5335">
      <w:pPr>
        <w:rPr>
          <w:rFonts w:ascii="Arial" w:hAnsi="Arial" w:cs="Arial"/>
          <w:sz w:val="22"/>
          <w:szCs w:val="22"/>
        </w:rPr>
      </w:pPr>
    </w:p>
    <w:p w:rsidR="006B5335" w:rsidRDefault="006B5335" w:rsidP="006B5335">
      <w:pPr>
        <w:jc w:val="both"/>
        <w:rPr>
          <w:rFonts w:ascii="Arial" w:hAnsi="Arial" w:cs="Arial"/>
          <w:sz w:val="22"/>
          <w:szCs w:val="22"/>
        </w:rPr>
      </w:pPr>
      <w:r>
        <w:rPr>
          <w:rFonts w:ascii="Arial" w:hAnsi="Arial" w:cs="Arial"/>
          <w:sz w:val="22"/>
          <w:szCs w:val="22"/>
        </w:rPr>
        <w:t>Dans un premier temps, la commission a organisé deux réunions ayant pour objet:</w:t>
      </w:r>
    </w:p>
    <w:p w:rsidR="006B5335" w:rsidRDefault="006B5335" w:rsidP="006B5335">
      <w:pPr>
        <w:jc w:val="both"/>
        <w:rPr>
          <w:rFonts w:ascii="Arial" w:hAnsi="Arial" w:cs="Arial"/>
          <w:sz w:val="22"/>
          <w:szCs w:val="22"/>
        </w:rPr>
      </w:pPr>
    </w:p>
    <w:p w:rsidR="006B5335" w:rsidRPr="006B5335" w:rsidRDefault="006B5335" w:rsidP="006B5335">
      <w:pPr>
        <w:pStyle w:val="Paragraphedeliste"/>
        <w:numPr>
          <w:ilvl w:val="0"/>
          <w:numId w:val="5"/>
        </w:numPr>
        <w:ind w:left="360"/>
        <w:jc w:val="both"/>
        <w:rPr>
          <w:rFonts w:cs="Arial"/>
        </w:rPr>
      </w:pPr>
      <w:r w:rsidRPr="006B5335">
        <w:rPr>
          <w:rFonts w:cs="Arial"/>
        </w:rPr>
        <w:t>d'entendre une présentation par les experts du CEPS/INSTEAD de leurs études récentes concernant l'efficacité des politiques d'emploi au Luxembourg, en particulier en ce qui concerne le contrat d'initiation à l'emploi (CIE) et le contrat d'appui-emploi (CAE) ainsi que les mesures de formation destinées aux demandeurs d'emploi;</w:t>
      </w:r>
    </w:p>
    <w:p w:rsidR="006B5335" w:rsidRDefault="006B5335" w:rsidP="006B5335">
      <w:pPr>
        <w:jc w:val="both"/>
        <w:rPr>
          <w:rFonts w:ascii="Arial" w:hAnsi="Arial" w:cs="Arial"/>
          <w:sz w:val="22"/>
          <w:szCs w:val="22"/>
        </w:rPr>
      </w:pPr>
    </w:p>
    <w:p w:rsidR="006B5335" w:rsidRPr="006B5335" w:rsidRDefault="006B5335" w:rsidP="006B5335">
      <w:pPr>
        <w:pStyle w:val="Paragraphedeliste"/>
        <w:numPr>
          <w:ilvl w:val="0"/>
          <w:numId w:val="7"/>
        </w:numPr>
        <w:jc w:val="both"/>
        <w:rPr>
          <w:rFonts w:cs="Arial"/>
        </w:rPr>
      </w:pPr>
      <w:r w:rsidRPr="006B5335">
        <w:rPr>
          <w:rFonts w:cs="Arial"/>
        </w:rPr>
        <w:t>d'entendre les experts compétents de l'ADEM en leurs explications concernant les enseignements à tirer des études statistiques sur le profil socio-économique des différentes populations de demandeurs d'emploi et du chômage.</w:t>
      </w:r>
    </w:p>
    <w:p w:rsidR="006B5335" w:rsidRDefault="006B5335" w:rsidP="006B5335">
      <w:pPr>
        <w:jc w:val="both"/>
        <w:rPr>
          <w:rFonts w:ascii="Arial" w:hAnsi="Arial" w:cs="Arial"/>
          <w:sz w:val="22"/>
          <w:szCs w:val="22"/>
        </w:rPr>
      </w:pPr>
    </w:p>
    <w:p w:rsidR="006B5335" w:rsidRDefault="006B5335" w:rsidP="006B5335">
      <w:pPr>
        <w:jc w:val="both"/>
        <w:rPr>
          <w:rFonts w:ascii="Arial" w:hAnsi="Arial" w:cs="Arial"/>
          <w:sz w:val="22"/>
          <w:szCs w:val="22"/>
        </w:rPr>
      </w:pPr>
      <w:r>
        <w:rPr>
          <w:rFonts w:ascii="Arial" w:hAnsi="Arial" w:cs="Arial"/>
          <w:sz w:val="22"/>
          <w:szCs w:val="22"/>
        </w:rPr>
        <w:t>Dans sa réunion du 27 septembre 2012, la commission a procédé à un nouvel échange de vues sur l'organisation et l'orientation de ses travaux.</w:t>
      </w:r>
    </w:p>
    <w:p w:rsidR="006B5335" w:rsidRDefault="006B5335" w:rsidP="006B5335">
      <w:pPr>
        <w:jc w:val="both"/>
        <w:rPr>
          <w:rFonts w:ascii="Arial" w:hAnsi="Arial" w:cs="Arial"/>
          <w:sz w:val="22"/>
          <w:szCs w:val="22"/>
        </w:rPr>
      </w:pPr>
    </w:p>
    <w:p w:rsidR="006B5335" w:rsidRDefault="006B5335" w:rsidP="006B5335">
      <w:pPr>
        <w:jc w:val="both"/>
        <w:rPr>
          <w:rFonts w:ascii="Arial" w:hAnsi="Arial" w:cs="Arial"/>
          <w:sz w:val="22"/>
          <w:szCs w:val="22"/>
        </w:rPr>
      </w:pPr>
      <w:r>
        <w:rPr>
          <w:rFonts w:ascii="Arial" w:hAnsi="Arial" w:cs="Arial"/>
          <w:sz w:val="22"/>
          <w:szCs w:val="22"/>
        </w:rPr>
        <w:t>Dans sa réunion du 15 octobre 2012, la Commission du Travail et de l'Emploi a eu un échange de vues avec la Direction de l'ADEM. Cet entretien a encore été approfondi à l'occasion d'une visite dans les localités de l'ADEM le 19 novembre 2012.</w:t>
      </w:r>
    </w:p>
    <w:p w:rsidR="006B5335" w:rsidRDefault="006B5335" w:rsidP="006B5335">
      <w:pPr>
        <w:jc w:val="both"/>
        <w:rPr>
          <w:rFonts w:ascii="Arial" w:hAnsi="Arial" w:cs="Arial"/>
          <w:sz w:val="22"/>
          <w:szCs w:val="22"/>
        </w:rPr>
      </w:pPr>
    </w:p>
    <w:p w:rsidR="006B5335" w:rsidRDefault="006B5335" w:rsidP="006B5335">
      <w:pPr>
        <w:jc w:val="both"/>
        <w:rPr>
          <w:rFonts w:ascii="Arial" w:hAnsi="Arial" w:cs="Arial"/>
          <w:sz w:val="22"/>
          <w:szCs w:val="22"/>
        </w:rPr>
      </w:pPr>
      <w:r>
        <w:rPr>
          <w:rFonts w:ascii="Arial" w:hAnsi="Arial" w:cs="Arial"/>
          <w:sz w:val="22"/>
          <w:szCs w:val="22"/>
        </w:rPr>
        <w:t>En date du 23 février 2013, la commission s'est rendue à Coblence pour y avoir deux entrevues, à savoir</w:t>
      </w:r>
    </w:p>
    <w:p w:rsidR="006B5335" w:rsidRDefault="006B5335" w:rsidP="006B5335">
      <w:pPr>
        <w:jc w:val="both"/>
        <w:rPr>
          <w:rFonts w:ascii="Arial" w:hAnsi="Arial" w:cs="Arial"/>
          <w:sz w:val="22"/>
          <w:szCs w:val="22"/>
        </w:rPr>
      </w:pPr>
    </w:p>
    <w:p w:rsidR="006B5335" w:rsidRPr="006B5335" w:rsidRDefault="006B5335" w:rsidP="006B5335">
      <w:pPr>
        <w:pStyle w:val="Paragraphedeliste"/>
        <w:numPr>
          <w:ilvl w:val="0"/>
          <w:numId w:val="3"/>
        </w:numPr>
        <w:ind w:left="360"/>
        <w:jc w:val="both"/>
        <w:rPr>
          <w:rFonts w:cs="Arial"/>
        </w:rPr>
      </w:pPr>
      <w:r w:rsidRPr="006B5335">
        <w:rPr>
          <w:rFonts w:cs="Arial"/>
        </w:rPr>
        <w:t>à la Hochschule Koblenz, avec le Prof. Dr Stefan Sell, professeur en sciences économiques (Professor für Volkswirtschaftslehre, Sozialpolitik und Sozialwissenschaften), sur le bilan et les enseignements à tirer des réformes fondamentales du marché de l'emploi (Arbeitsvermittlung) intervenues en Allemagne,</w:t>
      </w:r>
    </w:p>
    <w:p w:rsidR="006B5335" w:rsidRDefault="006B5335" w:rsidP="006B5335">
      <w:pPr>
        <w:jc w:val="both"/>
        <w:rPr>
          <w:rFonts w:ascii="Arial" w:hAnsi="Arial" w:cs="Arial"/>
          <w:sz w:val="22"/>
          <w:szCs w:val="22"/>
          <w:lang w:val="fr-LU"/>
        </w:rPr>
      </w:pPr>
    </w:p>
    <w:p w:rsidR="006B5335" w:rsidRPr="006B5335" w:rsidRDefault="006B5335" w:rsidP="006B5335">
      <w:pPr>
        <w:pStyle w:val="Paragraphedeliste"/>
        <w:numPr>
          <w:ilvl w:val="0"/>
          <w:numId w:val="3"/>
        </w:numPr>
        <w:ind w:left="360"/>
        <w:jc w:val="both"/>
        <w:rPr>
          <w:rFonts w:cs="Arial"/>
        </w:rPr>
      </w:pPr>
      <w:r w:rsidRPr="006B5335">
        <w:rPr>
          <w:rFonts w:cs="Arial"/>
        </w:rPr>
        <w:t>à l'Arbeitsagentur Koblenz-Mayen, avec les responsables de l'Arbeitsagentur Koblenz/Mayen et du Jobcenter de la Ville de Coblence.</w:t>
      </w:r>
    </w:p>
    <w:p w:rsidR="006B5335" w:rsidRDefault="006B5335" w:rsidP="006B5335">
      <w:pPr>
        <w:jc w:val="both"/>
        <w:rPr>
          <w:rFonts w:ascii="Arial" w:hAnsi="Arial" w:cs="Arial"/>
          <w:sz w:val="22"/>
          <w:szCs w:val="22"/>
          <w:lang w:val="fr-LU"/>
        </w:rPr>
      </w:pPr>
    </w:p>
    <w:p w:rsidR="006B5335" w:rsidRDefault="006B5335" w:rsidP="006B5335">
      <w:pPr>
        <w:jc w:val="both"/>
        <w:rPr>
          <w:rFonts w:ascii="Arial" w:hAnsi="Arial" w:cs="Arial"/>
          <w:sz w:val="22"/>
          <w:szCs w:val="22"/>
          <w:lang w:val="fr-LU"/>
        </w:rPr>
      </w:pPr>
      <w:r>
        <w:rPr>
          <w:rFonts w:ascii="Arial" w:hAnsi="Arial" w:cs="Arial"/>
          <w:sz w:val="22"/>
          <w:szCs w:val="22"/>
          <w:lang w:val="fr-LU"/>
        </w:rPr>
        <w:t>Dans sa réunion du 28 janvier 2013, la commission a eu des échanges de vues avec des représentants d'entreprises de différents secteurs de l'économie.</w:t>
      </w:r>
    </w:p>
    <w:p w:rsidR="006B5335" w:rsidRDefault="006B5335" w:rsidP="006B5335">
      <w:pPr>
        <w:jc w:val="both"/>
        <w:rPr>
          <w:rFonts w:ascii="Arial" w:hAnsi="Arial" w:cs="Arial"/>
          <w:sz w:val="22"/>
          <w:szCs w:val="22"/>
          <w:lang w:val="fr-LU"/>
        </w:rPr>
      </w:pPr>
    </w:p>
    <w:p w:rsidR="006B5335" w:rsidRDefault="006B5335" w:rsidP="006B5335">
      <w:pPr>
        <w:jc w:val="both"/>
        <w:rPr>
          <w:rFonts w:ascii="Arial" w:hAnsi="Arial" w:cs="Arial"/>
          <w:sz w:val="22"/>
          <w:szCs w:val="22"/>
          <w:lang w:val="fr-LU"/>
        </w:rPr>
      </w:pPr>
      <w:r>
        <w:rPr>
          <w:rFonts w:ascii="Arial" w:hAnsi="Arial" w:cs="Arial"/>
          <w:sz w:val="22"/>
          <w:szCs w:val="22"/>
          <w:lang w:val="fr-LU"/>
        </w:rPr>
        <w:t>Dans sa réunion du 18 février 2013, la commission a fait un nouveau point de ses travaux et elle a arrêté  le programme pour la continuation et la clôture de ses travaux.</w:t>
      </w:r>
    </w:p>
    <w:p w:rsidR="006B5335" w:rsidRDefault="006B5335" w:rsidP="006B5335">
      <w:pPr>
        <w:jc w:val="both"/>
        <w:rPr>
          <w:rFonts w:ascii="Arial" w:hAnsi="Arial" w:cs="Arial"/>
          <w:sz w:val="22"/>
          <w:szCs w:val="22"/>
        </w:rPr>
      </w:pPr>
    </w:p>
    <w:p w:rsidR="006B5335" w:rsidRDefault="006B5335" w:rsidP="006B5335">
      <w:pPr>
        <w:jc w:val="both"/>
        <w:rPr>
          <w:rFonts w:ascii="Arial" w:hAnsi="Arial" w:cs="Arial"/>
          <w:sz w:val="22"/>
          <w:szCs w:val="22"/>
        </w:rPr>
      </w:pPr>
      <w:r w:rsidRPr="00A3297A">
        <w:rPr>
          <w:rFonts w:ascii="Arial" w:hAnsi="Arial" w:cs="Arial"/>
          <w:sz w:val="22"/>
          <w:szCs w:val="22"/>
        </w:rPr>
        <w:lastRenderedPageBreak/>
        <w:t>Le 18 mars</w:t>
      </w:r>
      <w:r>
        <w:rPr>
          <w:rFonts w:ascii="Arial" w:hAnsi="Arial" w:cs="Arial"/>
          <w:sz w:val="22"/>
          <w:szCs w:val="22"/>
        </w:rPr>
        <w:t xml:space="preserve"> 2013 la commission a procédé à l'audition des organisations représentatives des partenaires sociaux, à savoir l'Union des Entreprises luxembourgeoises (UEL) et les syndicats représentatifs au plan national OGB-L, LCGB et CGFP.</w:t>
      </w:r>
    </w:p>
    <w:p w:rsidR="006B5335" w:rsidRDefault="006B5335" w:rsidP="006B5335">
      <w:pPr>
        <w:jc w:val="both"/>
        <w:rPr>
          <w:rFonts w:ascii="Arial" w:hAnsi="Arial" w:cs="Arial"/>
          <w:sz w:val="22"/>
          <w:szCs w:val="22"/>
        </w:rPr>
      </w:pPr>
    </w:p>
    <w:p w:rsidR="006B5335" w:rsidRDefault="006B5335" w:rsidP="006B5335">
      <w:pPr>
        <w:jc w:val="both"/>
        <w:rPr>
          <w:rFonts w:ascii="Arial" w:hAnsi="Arial" w:cs="Arial"/>
          <w:sz w:val="22"/>
          <w:szCs w:val="22"/>
        </w:rPr>
      </w:pPr>
      <w:r w:rsidRPr="00A3297A">
        <w:rPr>
          <w:rFonts w:ascii="Arial" w:hAnsi="Arial" w:cs="Arial"/>
          <w:sz w:val="22"/>
          <w:szCs w:val="22"/>
        </w:rPr>
        <w:t>Le 15 avril 2013</w:t>
      </w:r>
      <w:r>
        <w:rPr>
          <w:rFonts w:ascii="Arial" w:hAnsi="Arial" w:cs="Arial"/>
          <w:sz w:val="22"/>
          <w:szCs w:val="22"/>
        </w:rPr>
        <w:t xml:space="preserve">, la commission s'est penchée sur le bilan de ses travaux et elle a esquissé les grandes lignes directrices de son rapport.  </w:t>
      </w:r>
    </w:p>
    <w:p w:rsidR="006B5335" w:rsidRDefault="006B5335" w:rsidP="006B5335">
      <w:pPr>
        <w:jc w:val="both"/>
        <w:rPr>
          <w:rFonts w:ascii="Arial" w:hAnsi="Arial" w:cs="Arial"/>
          <w:sz w:val="22"/>
          <w:szCs w:val="22"/>
        </w:rPr>
      </w:pPr>
    </w:p>
    <w:p w:rsidR="006B5335" w:rsidRDefault="006B5335" w:rsidP="006B5335">
      <w:pPr>
        <w:jc w:val="both"/>
        <w:rPr>
          <w:rFonts w:ascii="Arial" w:hAnsi="Arial" w:cs="Arial"/>
          <w:sz w:val="22"/>
          <w:szCs w:val="22"/>
        </w:rPr>
      </w:pPr>
      <w:r w:rsidRPr="001D601E">
        <w:rPr>
          <w:rFonts w:ascii="Arial" w:hAnsi="Arial" w:cs="Arial"/>
          <w:sz w:val="22"/>
          <w:szCs w:val="22"/>
        </w:rPr>
        <w:t>Dans sa réunion du</w:t>
      </w:r>
      <w:r>
        <w:rPr>
          <w:rFonts w:ascii="Arial" w:hAnsi="Arial" w:cs="Arial"/>
          <w:sz w:val="22"/>
          <w:szCs w:val="22"/>
        </w:rPr>
        <w:t xml:space="preserve"> 22</w:t>
      </w:r>
      <w:r w:rsidRPr="001D601E">
        <w:rPr>
          <w:rFonts w:ascii="Arial" w:hAnsi="Arial" w:cs="Arial"/>
          <w:sz w:val="22"/>
          <w:szCs w:val="22"/>
        </w:rPr>
        <w:t xml:space="preserve"> avril 2013</w:t>
      </w:r>
      <w:r>
        <w:rPr>
          <w:rFonts w:ascii="Arial" w:hAnsi="Arial" w:cs="Arial"/>
          <w:sz w:val="22"/>
          <w:szCs w:val="22"/>
        </w:rPr>
        <w:t>, la commission a eu une entrevue avec le Ministre du Travail, de l'Emploi et de l'Immigration au sujet des conclusions à tirer de ses travaux.</w:t>
      </w:r>
    </w:p>
    <w:p w:rsidR="006B5335" w:rsidRDefault="006B5335" w:rsidP="006B5335">
      <w:pPr>
        <w:jc w:val="both"/>
        <w:rPr>
          <w:rFonts w:ascii="Arial" w:hAnsi="Arial" w:cs="Arial"/>
          <w:sz w:val="22"/>
          <w:szCs w:val="22"/>
        </w:rPr>
      </w:pPr>
    </w:p>
    <w:p w:rsidR="006B5335" w:rsidRDefault="006B5335" w:rsidP="006B5335">
      <w:pPr>
        <w:jc w:val="both"/>
        <w:rPr>
          <w:rFonts w:ascii="Arial" w:hAnsi="Arial" w:cs="Arial"/>
          <w:sz w:val="22"/>
          <w:szCs w:val="22"/>
        </w:rPr>
      </w:pPr>
      <w:r>
        <w:rPr>
          <w:rFonts w:ascii="Arial" w:hAnsi="Arial" w:cs="Arial"/>
          <w:sz w:val="22"/>
          <w:szCs w:val="22"/>
        </w:rPr>
        <w:t>Dans sa réunion du 29 avril 2013, la commission a poursuivi l’examen du projet de rapport, en particulier du dernier chapitre consacré aux conclusions.</w:t>
      </w:r>
    </w:p>
    <w:p w:rsidR="006B5335" w:rsidRDefault="006B5335" w:rsidP="006B5335">
      <w:pPr>
        <w:jc w:val="both"/>
        <w:rPr>
          <w:rFonts w:ascii="Arial" w:hAnsi="Arial" w:cs="Arial"/>
          <w:sz w:val="22"/>
          <w:szCs w:val="22"/>
        </w:rPr>
      </w:pPr>
    </w:p>
    <w:p w:rsidR="006B5335" w:rsidRPr="001D601E" w:rsidRDefault="006B5335" w:rsidP="006B5335">
      <w:pPr>
        <w:jc w:val="both"/>
        <w:rPr>
          <w:rFonts w:ascii="Arial" w:hAnsi="Arial" w:cs="Arial"/>
          <w:sz w:val="22"/>
          <w:szCs w:val="22"/>
        </w:rPr>
      </w:pPr>
      <w:r w:rsidRPr="001D601E">
        <w:rPr>
          <w:rFonts w:ascii="Arial" w:hAnsi="Arial" w:cs="Arial"/>
          <w:sz w:val="22"/>
          <w:szCs w:val="22"/>
        </w:rPr>
        <w:t>Finalement, dans sa réunion du 8 mai 2013</w:t>
      </w:r>
      <w:r>
        <w:rPr>
          <w:rFonts w:ascii="Arial" w:hAnsi="Arial" w:cs="Arial"/>
          <w:sz w:val="22"/>
          <w:szCs w:val="22"/>
        </w:rPr>
        <w:t>, la commission s'est vu présenter le présent rapport par les rapporteurs MM. André Bauler et Roger Negri et elle l'a adopté.</w:t>
      </w:r>
    </w:p>
    <w:p w:rsidR="006B5335" w:rsidRDefault="006B5335" w:rsidP="006B5335">
      <w:pPr>
        <w:jc w:val="both"/>
        <w:rPr>
          <w:rFonts w:ascii="Arial" w:hAnsi="Arial" w:cs="Arial"/>
          <w:sz w:val="22"/>
          <w:szCs w:val="22"/>
        </w:rPr>
      </w:pPr>
    </w:p>
    <w:p w:rsidR="006B5335" w:rsidRDefault="006B5335" w:rsidP="006B5335">
      <w:pPr>
        <w:jc w:val="center"/>
        <w:rPr>
          <w:rFonts w:ascii="Arial" w:hAnsi="Arial" w:cs="Arial"/>
          <w:sz w:val="22"/>
          <w:szCs w:val="22"/>
        </w:rPr>
      </w:pPr>
      <w:r>
        <w:rPr>
          <w:rFonts w:ascii="Arial" w:hAnsi="Arial" w:cs="Arial"/>
          <w:sz w:val="22"/>
          <w:szCs w:val="22"/>
        </w:rPr>
        <w:t>*</w:t>
      </w:r>
    </w:p>
    <w:p w:rsidR="006B5335" w:rsidRDefault="006B5335" w:rsidP="006B5335">
      <w:pPr>
        <w:rPr>
          <w:rFonts w:ascii="Arial" w:hAnsi="Arial" w:cs="Arial"/>
          <w:sz w:val="22"/>
          <w:szCs w:val="22"/>
        </w:rPr>
      </w:pPr>
    </w:p>
    <w:p w:rsidR="006B5335" w:rsidRDefault="006B5335" w:rsidP="006B5335">
      <w:pPr>
        <w:rPr>
          <w:rFonts w:ascii="Arial" w:hAnsi="Arial" w:cs="Arial"/>
          <w:sz w:val="22"/>
          <w:szCs w:val="22"/>
        </w:rPr>
      </w:pPr>
      <w:r>
        <w:rPr>
          <w:rFonts w:ascii="Arial" w:hAnsi="Arial" w:cs="Arial"/>
          <w:sz w:val="22"/>
          <w:szCs w:val="22"/>
        </w:rPr>
        <w:t>Les conclusions et recommandations de la Commission du Travail et de l'Emploi se trouvent exposées en détail, au chapitre VI (pages 73 à 84) du rapport.</w:t>
      </w:r>
    </w:p>
    <w:p w:rsidR="006B5335" w:rsidRDefault="006B5335" w:rsidP="006B5335">
      <w:pPr>
        <w:rPr>
          <w:rFonts w:ascii="Arial" w:hAnsi="Arial" w:cs="Arial"/>
          <w:sz w:val="22"/>
          <w:szCs w:val="22"/>
        </w:rPr>
      </w:pPr>
    </w:p>
    <w:p w:rsidR="006B5335" w:rsidRDefault="006B5335" w:rsidP="006B5335">
      <w:pPr>
        <w:rPr>
          <w:rFonts w:ascii="Arial" w:hAnsi="Arial" w:cs="Arial"/>
          <w:sz w:val="22"/>
          <w:szCs w:val="22"/>
        </w:rPr>
      </w:pPr>
      <w:r>
        <w:rPr>
          <w:rFonts w:ascii="Arial" w:hAnsi="Arial" w:cs="Arial"/>
          <w:sz w:val="22"/>
          <w:szCs w:val="22"/>
        </w:rPr>
        <w:t>Elles ont, en résumé schématique, trait aux points suivants:</w:t>
      </w:r>
    </w:p>
    <w:p w:rsidR="006B5335" w:rsidRDefault="006B5335" w:rsidP="006B5335">
      <w:pPr>
        <w:rPr>
          <w:rFonts w:ascii="Arial" w:hAnsi="Arial" w:cs="Arial"/>
          <w:sz w:val="22"/>
          <w:szCs w:val="22"/>
        </w:rPr>
      </w:pPr>
    </w:p>
    <w:p w:rsidR="006B5335" w:rsidRPr="006B5335" w:rsidRDefault="006B5335" w:rsidP="006B5335">
      <w:pPr>
        <w:pStyle w:val="Paragraphedeliste"/>
        <w:numPr>
          <w:ilvl w:val="0"/>
          <w:numId w:val="1"/>
        </w:numPr>
        <w:ind w:left="360"/>
        <w:jc w:val="both"/>
        <w:rPr>
          <w:rFonts w:cs="Arial"/>
        </w:rPr>
      </w:pPr>
      <w:r w:rsidRPr="006B5335">
        <w:rPr>
          <w:rFonts w:cs="Arial"/>
        </w:rPr>
        <w:t>la nécessité d'une croissance économique durable dans une économie performante et compétitive;</w:t>
      </w:r>
    </w:p>
    <w:p w:rsidR="006B5335" w:rsidRDefault="006B5335" w:rsidP="006B5335">
      <w:pPr>
        <w:jc w:val="both"/>
        <w:rPr>
          <w:rFonts w:ascii="Arial" w:hAnsi="Arial" w:cs="Arial"/>
          <w:sz w:val="22"/>
          <w:szCs w:val="22"/>
        </w:rPr>
      </w:pPr>
    </w:p>
    <w:p w:rsidR="006B5335" w:rsidRPr="006B5335" w:rsidRDefault="006B5335" w:rsidP="006B5335">
      <w:pPr>
        <w:pStyle w:val="Paragraphedeliste"/>
        <w:numPr>
          <w:ilvl w:val="0"/>
          <w:numId w:val="1"/>
        </w:numPr>
        <w:ind w:left="360"/>
        <w:jc w:val="both"/>
        <w:rPr>
          <w:rFonts w:cs="Arial"/>
          <w:color w:val="000000"/>
        </w:rPr>
      </w:pPr>
      <w:r w:rsidRPr="006B5335">
        <w:rPr>
          <w:rFonts w:cs="Arial"/>
        </w:rPr>
        <w:t>l'</w:t>
      </w:r>
      <w:r w:rsidRPr="006B5335">
        <w:rPr>
          <w:rFonts w:cs="Arial"/>
          <w:color w:val="000000"/>
        </w:rPr>
        <w:t>inadéquation entre la demande et l'offre sur notre marché de l'emploi et les conséquences à en tirer;</w:t>
      </w:r>
    </w:p>
    <w:p w:rsidR="006B5335" w:rsidRDefault="006B5335" w:rsidP="006B5335">
      <w:pPr>
        <w:jc w:val="both"/>
        <w:rPr>
          <w:rFonts w:ascii="Arial" w:hAnsi="Arial" w:cs="Arial"/>
          <w:color w:val="000000"/>
          <w:sz w:val="22"/>
          <w:szCs w:val="22"/>
        </w:rPr>
      </w:pPr>
    </w:p>
    <w:p w:rsidR="006B5335" w:rsidRPr="006B5335" w:rsidRDefault="006B5335" w:rsidP="006B5335">
      <w:pPr>
        <w:pStyle w:val="Paragraphedeliste"/>
        <w:numPr>
          <w:ilvl w:val="0"/>
          <w:numId w:val="1"/>
        </w:numPr>
        <w:ind w:left="360"/>
        <w:jc w:val="both"/>
        <w:rPr>
          <w:rFonts w:cs="Arial"/>
          <w:color w:val="000000"/>
        </w:rPr>
      </w:pPr>
      <w:r w:rsidRPr="006B5335">
        <w:rPr>
          <w:rFonts w:cs="Arial"/>
          <w:color w:val="000000"/>
        </w:rPr>
        <w:t>la réforme de l'ADEM et le processus de sa mise en œuvre;</w:t>
      </w:r>
    </w:p>
    <w:p w:rsidR="006B5335" w:rsidRDefault="006B5335" w:rsidP="006B5335">
      <w:pPr>
        <w:jc w:val="both"/>
        <w:rPr>
          <w:rFonts w:ascii="Arial" w:hAnsi="Arial" w:cs="Arial"/>
          <w:color w:val="000000"/>
          <w:sz w:val="22"/>
          <w:szCs w:val="22"/>
        </w:rPr>
      </w:pPr>
    </w:p>
    <w:p w:rsidR="006B5335" w:rsidRPr="006B5335" w:rsidRDefault="006B5335" w:rsidP="006B5335">
      <w:pPr>
        <w:pStyle w:val="Paragraphedeliste"/>
        <w:numPr>
          <w:ilvl w:val="0"/>
          <w:numId w:val="1"/>
        </w:numPr>
        <w:ind w:left="360"/>
        <w:jc w:val="both"/>
        <w:rPr>
          <w:rFonts w:cs="Arial"/>
          <w:color w:val="000000"/>
        </w:rPr>
      </w:pPr>
      <w:r w:rsidRPr="006B5335">
        <w:rPr>
          <w:rFonts w:cs="Arial"/>
          <w:color w:val="000000"/>
        </w:rPr>
        <w:t>les différentes mesures et les instruments pour l'emploi;</w:t>
      </w:r>
    </w:p>
    <w:p w:rsidR="006B5335" w:rsidRDefault="006B5335" w:rsidP="006B5335">
      <w:pPr>
        <w:jc w:val="both"/>
        <w:rPr>
          <w:rFonts w:ascii="Arial" w:hAnsi="Arial" w:cs="Arial"/>
          <w:color w:val="000000"/>
          <w:sz w:val="22"/>
          <w:szCs w:val="22"/>
        </w:rPr>
      </w:pPr>
    </w:p>
    <w:p w:rsidR="006B5335" w:rsidRPr="006B5335" w:rsidRDefault="000D69CB" w:rsidP="006B5335">
      <w:pPr>
        <w:pStyle w:val="Paragraphedeliste"/>
        <w:numPr>
          <w:ilvl w:val="0"/>
          <w:numId w:val="1"/>
        </w:numPr>
        <w:ind w:left="360"/>
        <w:jc w:val="both"/>
        <w:rPr>
          <w:rFonts w:cs="Arial"/>
          <w:color w:val="000000"/>
        </w:rPr>
      </w:pPr>
      <w:r>
        <w:rPr>
          <w:rFonts w:cs="Arial"/>
          <w:color w:val="000000"/>
        </w:rPr>
        <w:t>l'importance d'</w:t>
      </w:r>
      <w:r w:rsidR="006B5335" w:rsidRPr="006B5335">
        <w:rPr>
          <w:rFonts w:cs="Arial"/>
          <w:color w:val="000000"/>
        </w:rPr>
        <w:t>une stratégie cohérente de mesures favorisant le maintien dans l'emploi et en particulier le maintien dans l'emploi des salariés plus âgés;</w:t>
      </w:r>
    </w:p>
    <w:p w:rsidR="006B5335" w:rsidRDefault="006B5335" w:rsidP="006B5335">
      <w:pPr>
        <w:jc w:val="both"/>
        <w:rPr>
          <w:rFonts w:ascii="Arial" w:hAnsi="Arial" w:cs="Arial"/>
          <w:color w:val="000000"/>
          <w:sz w:val="22"/>
          <w:szCs w:val="22"/>
        </w:rPr>
      </w:pPr>
    </w:p>
    <w:p w:rsidR="006B5335" w:rsidRPr="006B5335" w:rsidRDefault="006B5335" w:rsidP="006B5335">
      <w:pPr>
        <w:pStyle w:val="Paragraphedeliste"/>
        <w:numPr>
          <w:ilvl w:val="0"/>
          <w:numId w:val="1"/>
        </w:numPr>
        <w:ind w:left="360"/>
        <w:jc w:val="both"/>
        <w:rPr>
          <w:rFonts w:cs="Arial"/>
        </w:rPr>
      </w:pPr>
      <w:r w:rsidRPr="006B5335">
        <w:rPr>
          <w:rFonts w:cs="Arial"/>
        </w:rPr>
        <w:t>la problématique des demandeurs d'emploi à faible employabilité en raison de leur éloignement du marché de l'emploi;</w:t>
      </w:r>
    </w:p>
    <w:p w:rsidR="006B5335" w:rsidRDefault="006B5335" w:rsidP="006B5335">
      <w:pPr>
        <w:jc w:val="both"/>
        <w:rPr>
          <w:rFonts w:ascii="Arial" w:hAnsi="Arial" w:cs="Arial"/>
          <w:sz w:val="22"/>
          <w:szCs w:val="22"/>
        </w:rPr>
      </w:pPr>
    </w:p>
    <w:p w:rsidR="006B5335" w:rsidRPr="006B5335" w:rsidRDefault="006B5335" w:rsidP="006B5335">
      <w:pPr>
        <w:pStyle w:val="Paragraphedeliste"/>
        <w:numPr>
          <w:ilvl w:val="0"/>
          <w:numId w:val="1"/>
        </w:numPr>
        <w:ind w:left="360"/>
        <w:jc w:val="both"/>
        <w:rPr>
          <w:rFonts w:cs="Arial"/>
        </w:rPr>
      </w:pPr>
      <w:r w:rsidRPr="006B5335">
        <w:rPr>
          <w:rFonts w:cs="Arial"/>
        </w:rPr>
        <w:t>les efforts propres et les critères de l'emploi approprié;</w:t>
      </w:r>
    </w:p>
    <w:p w:rsidR="006B5335" w:rsidRDefault="006B5335" w:rsidP="006B5335">
      <w:pPr>
        <w:jc w:val="both"/>
        <w:rPr>
          <w:rFonts w:ascii="Arial" w:hAnsi="Arial" w:cs="Arial"/>
          <w:sz w:val="22"/>
          <w:szCs w:val="22"/>
        </w:rPr>
      </w:pPr>
    </w:p>
    <w:p w:rsidR="006B5335" w:rsidRPr="006B5335" w:rsidRDefault="006B5335" w:rsidP="006B5335">
      <w:pPr>
        <w:pStyle w:val="Paragraphedeliste"/>
        <w:numPr>
          <w:ilvl w:val="0"/>
          <w:numId w:val="1"/>
        </w:numPr>
        <w:ind w:left="360"/>
        <w:jc w:val="both"/>
        <w:rPr>
          <w:rFonts w:cs="Arial"/>
        </w:rPr>
      </w:pPr>
      <w:r w:rsidRPr="006B5335">
        <w:rPr>
          <w:rFonts w:cs="Arial"/>
        </w:rPr>
        <w:t>la relance du système dual de la formation professionnelle;</w:t>
      </w:r>
    </w:p>
    <w:p w:rsidR="006B5335" w:rsidRDefault="006B5335" w:rsidP="006B5335">
      <w:pPr>
        <w:jc w:val="both"/>
        <w:rPr>
          <w:rFonts w:ascii="Arial" w:hAnsi="Arial" w:cs="Arial"/>
          <w:sz w:val="22"/>
          <w:szCs w:val="22"/>
        </w:rPr>
      </w:pPr>
    </w:p>
    <w:p w:rsidR="006B5335" w:rsidRPr="006B5335" w:rsidRDefault="006B5335" w:rsidP="006B5335">
      <w:pPr>
        <w:pStyle w:val="Paragraphedeliste"/>
        <w:numPr>
          <w:ilvl w:val="0"/>
          <w:numId w:val="1"/>
        </w:numPr>
        <w:ind w:left="360"/>
        <w:jc w:val="both"/>
        <w:rPr>
          <w:rFonts w:cs="Arial"/>
        </w:rPr>
      </w:pPr>
      <w:r w:rsidRPr="006B5335">
        <w:rPr>
          <w:rFonts w:cs="Arial"/>
        </w:rPr>
        <w:t>l'agencement actuel de différents paramètres sociaux;</w:t>
      </w:r>
    </w:p>
    <w:p w:rsidR="006B5335" w:rsidRDefault="006B5335" w:rsidP="006B5335">
      <w:pPr>
        <w:jc w:val="both"/>
        <w:rPr>
          <w:rFonts w:ascii="Arial" w:hAnsi="Arial" w:cs="Arial"/>
          <w:sz w:val="22"/>
          <w:szCs w:val="22"/>
        </w:rPr>
      </w:pPr>
    </w:p>
    <w:p w:rsidR="006B5335" w:rsidRPr="006B5335" w:rsidRDefault="006B5335" w:rsidP="006B5335">
      <w:pPr>
        <w:pStyle w:val="Paragraphedeliste"/>
        <w:numPr>
          <w:ilvl w:val="0"/>
          <w:numId w:val="1"/>
        </w:numPr>
        <w:ind w:left="360"/>
        <w:jc w:val="both"/>
        <w:rPr>
          <w:rFonts w:cs="Arial"/>
        </w:rPr>
      </w:pPr>
      <w:r w:rsidRPr="006B5335">
        <w:rPr>
          <w:rFonts w:cs="Arial"/>
        </w:rPr>
        <w:t>les initiatives sociales pour l'emploi;</w:t>
      </w:r>
    </w:p>
    <w:p w:rsidR="006B5335" w:rsidRDefault="006B5335" w:rsidP="006B5335">
      <w:pPr>
        <w:jc w:val="both"/>
        <w:rPr>
          <w:rFonts w:ascii="Arial" w:hAnsi="Arial" w:cs="Arial"/>
          <w:sz w:val="22"/>
          <w:szCs w:val="22"/>
        </w:rPr>
      </w:pPr>
    </w:p>
    <w:p w:rsidR="006B5335" w:rsidRPr="006B5335" w:rsidRDefault="006B5335" w:rsidP="006B5335">
      <w:pPr>
        <w:pStyle w:val="Paragraphedeliste"/>
        <w:numPr>
          <w:ilvl w:val="0"/>
          <w:numId w:val="1"/>
        </w:numPr>
        <w:ind w:left="360"/>
        <w:jc w:val="both"/>
        <w:rPr>
          <w:rFonts w:cs="Arial"/>
        </w:rPr>
      </w:pPr>
      <w:r w:rsidRPr="006B5335">
        <w:rPr>
          <w:rFonts w:cs="Arial"/>
        </w:rPr>
        <w:t>l'Economie solidaire et en particulier le statut juridique d'entreprise à finalité sociale;</w:t>
      </w:r>
    </w:p>
    <w:p w:rsidR="006B5335" w:rsidRDefault="006B5335" w:rsidP="006B5335">
      <w:pPr>
        <w:jc w:val="both"/>
        <w:rPr>
          <w:rFonts w:ascii="Arial" w:hAnsi="Arial" w:cs="Arial"/>
          <w:sz w:val="22"/>
          <w:szCs w:val="22"/>
        </w:rPr>
      </w:pPr>
    </w:p>
    <w:p w:rsidR="006B5335" w:rsidRPr="006B5335" w:rsidRDefault="006B5335" w:rsidP="006B5335">
      <w:pPr>
        <w:pStyle w:val="Paragraphedeliste"/>
        <w:numPr>
          <w:ilvl w:val="0"/>
          <w:numId w:val="1"/>
        </w:numPr>
        <w:ind w:left="360"/>
        <w:jc w:val="both"/>
        <w:rPr>
          <w:rFonts w:cs="Arial"/>
        </w:rPr>
      </w:pPr>
      <w:r w:rsidRPr="006B5335">
        <w:rPr>
          <w:rFonts w:cs="Arial"/>
        </w:rPr>
        <w:t>le rôle des communes dans la mise en œuvre de la stratégie pour l'emploi.</w:t>
      </w:r>
    </w:p>
    <w:p w:rsidR="006B5335" w:rsidRDefault="006B5335" w:rsidP="006B5335">
      <w:pPr>
        <w:jc w:val="both"/>
        <w:rPr>
          <w:rFonts w:ascii="Arial" w:hAnsi="Arial" w:cs="Arial"/>
          <w:sz w:val="22"/>
          <w:szCs w:val="22"/>
        </w:rPr>
      </w:pPr>
    </w:p>
    <w:p w:rsidR="006B5335" w:rsidRPr="006B5335" w:rsidRDefault="006B5335" w:rsidP="006B5335">
      <w:pPr>
        <w:jc w:val="both"/>
        <w:rPr>
          <w:rFonts w:ascii="Arial" w:hAnsi="Arial" w:cs="Arial"/>
          <w:sz w:val="22"/>
          <w:szCs w:val="22"/>
        </w:rPr>
      </w:pPr>
    </w:p>
    <w:p w:rsidR="006B5335" w:rsidRDefault="006B5335" w:rsidP="006B5335">
      <w:pPr>
        <w:rPr>
          <w:rFonts w:ascii="Arial" w:hAnsi="Arial" w:cs="Arial"/>
          <w:color w:val="000000"/>
          <w:sz w:val="22"/>
          <w:szCs w:val="22"/>
        </w:rPr>
      </w:pPr>
    </w:p>
    <w:p w:rsidR="006B5335" w:rsidRDefault="006B5335" w:rsidP="006B5335">
      <w:pPr>
        <w:rPr>
          <w:rFonts w:ascii="Arial" w:hAnsi="Arial" w:cs="Arial"/>
          <w:color w:val="000000"/>
          <w:sz w:val="22"/>
          <w:szCs w:val="22"/>
        </w:rPr>
      </w:pPr>
    </w:p>
    <w:p w:rsidR="006B5335" w:rsidRPr="006B5335" w:rsidRDefault="006B5335" w:rsidP="006B5335">
      <w:pPr>
        <w:rPr>
          <w:rFonts w:ascii="Arial" w:hAnsi="Arial" w:cs="Arial"/>
          <w:sz w:val="22"/>
          <w:szCs w:val="22"/>
        </w:rPr>
      </w:pPr>
    </w:p>
    <w:sectPr w:rsidR="006B5335" w:rsidRPr="006B5335" w:rsidSect="00BB31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D3E46"/>
    <w:multiLevelType w:val="hybridMultilevel"/>
    <w:tmpl w:val="7F5EAD0A"/>
    <w:lvl w:ilvl="0" w:tplc="71622F78">
      <w:start w:val="1"/>
      <w:numFmt w:val="bullet"/>
      <w:lvlText w:val="-"/>
      <w:lvlJc w:val="left"/>
      <w:pPr>
        <w:ind w:left="720" w:hanging="360"/>
      </w:pPr>
      <w:rPr>
        <w:rFonts w:ascii="Arial" w:hAnsi="Arial" w:hint="default"/>
      </w:rPr>
    </w:lvl>
    <w:lvl w:ilvl="1" w:tplc="140C0003">
      <w:start w:val="1"/>
      <w:numFmt w:val="bullet"/>
      <w:lvlText w:val="o"/>
      <w:lvlJc w:val="left"/>
      <w:pPr>
        <w:ind w:left="1440" w:hanging="360"/>
      </w:pPr>
      <w:rPr>
        <w:rFonts w:ascii="Courier New" w:hAnsi="Courier New" w:cs="Courier New" w:hint="default"/>
      </w:rPr>
    </w:lvl>
    <w:lvl w:ilvl="2" w:tplc="140C0005">
      <w:start w:val="1"/>
      <w:numFmt w:val="bullet"/>
      <w:lvlText w:val=""/>
      <w:lvlJc w:val="left"/>
      <w:pPr>
        <w:ind w:left="2160" w:hanging="360"/>
      </w:pPr>
      <w:rPr>
        <w:rFonts w:ascii="Wingdings" w:hAnsi="Wingdings" w:hint="default"/>
      </w:rPr>
    </w:lvl>
    <w:lvl w:ilvl="3" w:tplc="140C000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D924CF6"/>
    <w:multiLevelType w:val="hybridMultilevel"/>
    <w:tmpl w:val="E9D88F7A"/>
    <w:lvl w:ilvl="0" w:tplc="20163AEC">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1565015A"/>
    <w:multiLevelType w:val="hybridMultilevel"/>
    <w:tmpl w:val="1B60AEB8"/>
    <w:lvl w:ilvl="0" w:tplc="71622F78">
      <w:start w:val="1"/>
      <w:numFmt w:val="bullet"/>
      <w:lvlText w:val="-"/>
      <w:lvlJc w:val="left"/>
      <w:pPr>
        <w:ind w:left="720" w:hanging="360"/>
      </w:pPr>
      <w:rPr>
        <w:rFonts w:ascii="Arial" w:hAnsi="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72C2FD5"/>
    <w:multiLevelType w:val="hybridMultilevel"/>
    <w:tmpl w:val="8804A1DA"/>
    <w:lvl w:ilvl="0" w:tplc="0BA070AE">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1E1C5D1C"/>
    <w:multiLevelType w:val="hybridMultilevel"/>
    <w:tmpl w:val="8E3E5526"/>
    <w:lvl w:ilvl="0" w:tplc="71622F78">
      <w:start w:val="1"/>
      <w:numFmt w:val="bullet"/>
      <w:lvlText w:val="-"/>
      <w:lvlJc w:val="left"/>
      <w:pPr>
        <w:ind w:left="720" w:hanging="360"/>
      </w:pPr>
      <w:rPr>
        <w:rFonts w:ascii="Arial" w:hAnsi="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229F633B"/>
    <w:multiLevelType w:val="hybridMultilevel"/>
    <w:tmpl w:val="2F02B70E"/>
    <w:lvl w:ilvl="0" w:tplc="6CF0B34E">
      <w:numFmt w:val="bullet"/>
      <w:lvlText w:val="-"/>
      <w:lvlJc w:val="left"/>
      <w:pPr>
        <w:ind w:left="420" w:hanging="360"/>
      </w:pPr>
      <w:rPr>
        <w:rFonts w:ascii="Arial" w:eastAsia="Times New Roman" w:hAnsi="Arial" w:cs="Arial" w:hint="default"/>
      </w:rPr>
    </w:lvl>
    <w:lvl w:ilvl="1" w:tplc="140C0003" w:tentative="1">
      <w:start w:val="1"/>
      <w:numFmt w:val="bullet"/>
      <w:lvlText w:val="o"/>
      <w:lvlJc w:val="left"/>
      <w:pPr>
        <w:ind w:left="1140" w:hanging="360"/>
      </w:pPr>
      <w:rPr>
        <w:rFonts w:ascii="Courier New" w:hAnsi="Courier New" w:cs="Courier New" w:hint="default"/>
      </w:rPr>
    </w:lvl>
    <w:lvl w:ilvl="2" w:tplc="140C0005" w:tentative="1">
      <w:start w:val="1"/>
      <w:numFmt w:val="bullet"/>
      <w:lvlText w:val=""/>
      <w:lvlJc w:val="left"/>
      <w:pPr>
        <w:ind w:left="1860" w:hanging="360"/>
      </w:pPr>
      <w:rPr>
        <w:rFonts w:ascii="Wingdings" w:hAnsi="Wingdings" w:hint="default"/>
      </w:rPr>
    </w:lvl>
    <w:lvl w:ilvl="3" w:tplc="140C0001" w:tentative="1">
      <w:start w:val="1"/>
      <w:numFmt w:val="bullet"/>
      <w:lvlText w:val=""/>
      <w:lvlJc w:val="left"/>
      <w:pPr>
        <w:ind w:left="2580" w:hanging="360"/>
      </w:pPr>
      <w:rPr>
        <w:rFonts w:ascii="Symbol" w:hAnsi="Symbol" w:hint="default"/>
      </w:rPr>
    </w:lvl>
    <w:lvl w:ilvl="4" w:tplc="140C0003" w:tentative="1">
      <w:start w:val="1"/>
      <w:numFmt w:val="bullet"/>
      <w:lvlText w:val="o"/>
      <w:lvlJc w:val="left"/>
      <w:pPr>
        <w:ind w:left="3300" w:hanging="360"/>
      </w:pPr>
      <w:rPr>
        <w:rFonts w:ascii="Courier New" w:hAnsi="Courier New" w:cs="Courier New" w:hint="default"/>
      </w:rPr>
    </w:lvl>
    <w:lvl w:ilvl="5" w:tplc="140C0005" w:tentative="1">
      <w:start w:val="1"/>
      <w:numFmt w:val="bullet"/>
      <w:lvlText w:val=""/>
      <w:lvlJc w:val="left"/>
      <w:pPr>
        <w:ind w:left="4020" w:hanging="360"/>
      </w:pPr>
      <w:rPr>
        <w:rFonts w:ascii="Wingdings" w:hAnsi="Wingdings" w:hint="default"/>
      </w:rPr>
    </w:lvl>
    <w:lvl w:ilvl="6" w:tplc="140C0001" w:tentative="1">
      <w:start w:val="1"/>
      <w:numFmt w:val="bullet"/>
      <w:lvlText w:val=""/>
      <w:lvlJc w:val="left"/>
      <w:pPr>
        <w:ind w:left="4740" w:hanging="360"/>
      </w:pPr>
      <w:rPr>
        <w:rFonts w:ascii="Symbol" w:hAnsi="Symbol" w:hint="default"/>
      </w:rPr>
    </w:lvl>
    <w:lvl w:ilvl="7" w:tplc="140C0003" w:tentative="1">
      <w:start w:val="1"/>
      <w:numFmt w:val="bullet"/>
      <w:lvlText w:val="o"/>
      <w:lvlJc w:val="left"/>
      <w:pPr>
        <w:ind w:left="5460" w:hanging="360"/>
      </w:pPr>
      <w:rPr>
        <w:rFonts w:ascii="Courier New" w:hAnsi="Courier New" w:cs="Courier New" w:hint="default"/>
      </w:rPr>
    </w:lvl>
    <w:lvl w:ilvl="8" w:tplc="140C0005" w:tentative="1">
      <w:start w:val="1"/>
      <w:numFmt w:val="bullet"/>
      <w:lvlText w:val=""/>
      <w:lvlJc w:val="left"/>
      <w:pPr>
        <w:ind w:left="6180" w:hanging="360"/>
      </w:pPr>
      <w:rPr>
        <w:rFonts w:ascii="Wingdings" w:hAnsi="Wingdings" w:hint="default"/>
      </w:rPr>
    </w:lvl>
  </w:abstractNum>
  <w:abstractNum w:abstractNumId="6" w15:restartNumberingAfterBreak="0">
    <w:nsid w:val="510A2456"/>
    <w:multiLevelType w:val="hybridMultilevel"/>
    <w:tmpl w:val="56D8F3AC"/>
    <w:lvl w:ilvl="0" w:tplc="0BA070AE">
      <w:numFmt w:val="bullet"/>
      <w:lvlText w:val="-"/>
      <w:lvlJc w:val="left"/>
      <w:pPr>
        <w:ind w:left="360" w:hanging="360"/>
      </w:pPr>
      <w:rPr>
        <w:rFonts w:ascii="Arial" w:eastAsia="Times New Roman" w:hAnsi="Arial" w:cs="Aria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7" w15:restartNumberingAfterBreak="0">
    <w:nsid w:val="649E56F0"/>
    <w:multiLevelType w:val="hybridMultilevel"/>
    <w:tmpl w:val="1DDE2C28"/>
    <w:lvl w:ilvl="0" w:tplc="0BA070AE">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68984C41"/>
    <w:multiLevelType w:val="hybridMultilevel"/>
    <w:tmpl w:val="1826D23E"/>
    <w:lvl w:ilvl="0" w:tplc="0BA070AE">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7"/>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5335"/>
    <w:rsid w:val="0000217A"/>
    <w:rsid w:val="00061235"/>
    <w:rsid w:val="000D3A48"/>
    <w:rsid w:val="000D69CB"/>
    <w:rsid w:val="00383913"/>
    <w:rsid w:val="006256B8"/>
    <w:rsid w:val="006B5335"/>
    <w:rsid w:val="00827CA5"/>
    <w:rsid w:val="008967CC"/>
    <w:rsid w:val="00A17CE2"/>
    <w:rsid w:val="00B12A39"/>
    <w:rsid w:val="00BB3123"/>
    <w:rsid w:val="00C029AD"/>
    <w:rsid w:val="00F63A17"/>
    <w:rsid w:val="00FB13C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FA99471-C94D-46ED-86BA-F55A28011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335"/>
    <w:rPr>
      <w:lang w:val="fr-FR" w:eastAsia="fr-FR"/>
    </w:rPr>
  </w:style>
  <w:style w:type="paragraph" w:styleId="Titre1">
    <w:name w:val="heading 1"/>
    <w:basedOn w:val="Normal"/>
    <w:next w:val="Normal"/>
    <w:link w:val="Titre1Car"/>
    <w:qFormat/>
    <w:rsid w:val="006256B8"/>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6256B8"/>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6256B8"/>
    <w:pPr>
      <w:spacing w:line="360" w:lineRule="atLeast"/>
      <w:ind w:left="993" w:hanging="567"/>
      <w:outlineLvl w:val="2"/>
    </w:pPr>
    <w:rPr>
      <w:b/>
      <w:sz w:val="28"/>
      <w:u w:val="single"/>
    </w:rPr>
  </w:style>
  <w:style w:type="paragraph" w:styleId="Titre4">
    <w:name w:val="heading 4"/>
    <w:basedOn w:val="Normal"/>
    <w:link w:val="Titre4Car"/>
    <w:qFormat/>
    <w:rsid w:val="006256B8"/>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6256B8"/>
    <w:pPr>
      <w:ind w:left="708"/>
      <w:jc w:val="both"/>
      <w:outlineLvl w:val="4"/>
    </w:pPr>
    <w:rPr>
      <w:b/>
    </w:rPr>
  </w:style>
  <w:style w:type="paragraph" w:styleId="Titre6">
    <w:name w:val="heading 6"/>
    <w:basedOn w:val="Normal"/>
    <w:next w:val="Retraitnormal"/>
    <w:link w:val="Titre6Car"/>
    <w:qFormat/>
    <w:rsid w:val="006256B8"/>
    <w:pPr>
      <w:ind w:left="708"/>
      <w:jc w:val="both"/>
      <w:outlineLvl w:val="5"/>
    </w:pPr>
    <w:rPr>
      <w:u w:val="single"/>
    </w:rPr>
  </w:style>
  <w:style w:type="paragraph" w:styleId="Titre7">
    <w:name w:val="heading 7"/>
    <w:basedOn w:val="Normal"/>
    <w:next w:val="Retraitnormal"/>
    <w:link w:val="Titre7Car"/>
    <w:qFormat/>
    <w:rsid w:val="006256B8"/>
    <w:pPr>
      <w:ind w:left="708"/>
      <w:jc w:val="both"/>
      <w:outlineLvl w:val="6"/>
    </w:pPr>
    <w:rPr>
      <w:i/>
    </w:rPr>
  </w:style>
  <w:style w:type="paragraph" w:styleId="Titre8">
    <w:name w:val="heading 8"/>
    <w:basedOn w:val="Normal"/>
    <w:next w:val="Retraitnormal"/>
    <w:link w:val="Titre8Car"/>
    <w:qFormat/>
    <w:rsid w:val="006256B8"/>
    <w:pPr>
      <w:ind w:left="708"/>
      <w:jc w:val="both"/>
      <w:outlineLvl w:val="7"/>
    </w:pPr>
    <w:rPr>
      <w:i/>
    </w:rPr>
  </w:style>
  <w:style w:type="paragraph" w:styleId="Titre9">
    <w:name w:val="heading 9"/>
    <w:basedOn w:val="Normal"/>
    <w:next w:val="Retraitnormal"/>
    <w:link w:val="Titre9Car"/>
    <w:qFormat/>
    <w:rsid w:val="006256B8"/>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256B8"/>
    <w:rPr>
      <w:b/>
      <w:caps/>
      <w:sz w:val="32"/>
      <w:u w:val="double"/>
      <w:lang w:val="fr-FR" w:eastAsia="fr-FR"/>
    </w:rPr>
  </w:style>
  <w:style w:type="character" w:customStyle="1" w:styleId="Titre2Car">
    <w:name w:val="Titre 2 Car"/>
    <w:basedOn w:val="Policepardfaut"/>
    <w:link w:val="Titre2"/>
    <w:rsid w:val="006256B8"/>
    <w:rPr>
      <w:b/>
      <w:smallCaps/>
      <w:sz w:val="32"/>
      <w:u w:val="single"/>
      <w:lang w:val="fr-FR" w:eastAsia="fr-FR"/>
    </w:rPr>
  </w:style>
  <w:style w:type="character" w:customStyle="1" w:styleId="Titre3Car">
    <w:name w:val="Titre 3 Car"/>
    <w:basedOn w:val="Policepardfaut"/>
    <w:link w:val="Titre3"/>
    <w:rsid w:val="006256B8"/>
    <w:rPr>
      <w:b/>
      <w:sz w:val="28"/>
      <w:u w:val="single"/>
      <w:lang w:val="fr-FR" w:eastAsia="fr-FR"/>
    </w:rPr>
  </w:style>
  <w:style w:type="paragraph" w:styleId="Retraitnormal">
    <w:name w:val="Normal Indent"/>
    <w:basedOn w:val="Normal"/>
    <w:uiPriority w:val="99"/>
    <w:semiHidden/>
    <w:unhideWhenUsed/>
    <w:rsid w:val="00FB13C1"/>
    <w:pPr>
      <w:ind w:left="708"/>
    </w:pPr>
  </w:style>
  <w:style w:type="character" w:customStyle="1" w:styleId="Titre4Car">
    <w:name w:val="Titre 4 Car"/>
    <w:basedOn w:val="Policepardfaut"/>
    <w:link w:val="Titre4"/>
    <w:rsid w:val="006256B8"/>
    <w:rPr>
      <w:b/>
      <w:i/>
      <w:sz w:val="28"/>
      <w:u w:val="words"/>
      <w:lang w:val="fr-FR" w:eastAsia="fr-FR"/>
    </w:rPr>
  </w:style>
  <w:style w:type="character" w:customStyle="1" w:styleId="Titre5Car">
    <w:name w:val="Titre 5 Car"/>
    <w:basedOn w:val="Policepardfaut"/>
    <w:link w:val="Titre5"/>
    <w:rsid w:val="006256B8"/>
    <w:rPr>
      <w:b/>
      <w:lang w:val="fr-FR" w:eastAsia="fr-FR"/>
    </w:rPr>
  </w:style>
  <w:style w:type="character" w:customStyle="1" w:styleId="Titre6Car">
    <w:name w:val="Titre 6 Car"/>
    <w:basedOn w:val="Policepardfaut"/>
    <w:link w:val="Titre6"/>
    <w:rsid w:val="006256B8"/>
    <w:rPr>
      <w:u w:val="single"/>
      <w:lang w:val="fr-FR" w:eastAsia="fr-FR"/>
    </w:rPr>
  </w:style>
  <w:style w:type="character" w:customStyle="1" w:styleId="Titre7Car">
    <w:name w:val="Titre 7 Car"/>
    <w:basedOn w:val="Policepardfaut"/>
    <w:link w:val="Titre7"/>
    <w:rsid w:val="006256B8"/>
    <w:rPr>
      <w:i/>
      <w:lang w:val="fr-FR" w:eastAsia="fr-FR"/>
    </w:rPr>
  </w:style>
  <w:style w:type="character" w:customStyle="1" w:styleId="Titre8Car">
    <w:name w:val="Titre 8 Car"/>
    <w:basedOn w:val="Policepardfaut"/>
    <w:link w:val="Titre8"/>
    <w:rsid w:val="006256B8"/>
    <w:rPr>
      <w:i/>
      <w:lang w:val="fr-FR" w:eastAsia="fr-FR"/>
    </w:rPr>
  </w:style>
  <w:style w:type="character" w:customStyle="1" w:styleId="Titre9Car">
    <w:name w:val="Titre 9 Car"/>
    <w:basedOn w:val="Policepardfaut"/>
    <w:link w:val="Titre9"/>
    <w:rsid w:val="006256B8"/>
    <w:rPr>
      <w:i/>
      <w:lang w:val="fr-FR" w:eastAsia="fr-FR"/>
    </w:rPr>
  </w:style>
  <w:style w:type="paragraph" w:styleId="Paragraphedeliste">
    <w:name w:val="List Paragraph"/>
    <w:basedOn w:val="Normal"/>
    <w:uiPriority w:val="34"/>
    <w:qFormat/>
    <w:rsid w:val="006256B8"/>
    <w:pPr>
      <w:ind w:left="720"/>
      <w:contextualSpacing/>
    </w:pPr>
    <w:rPr>
      <w:rFonts w:ascii="Arial" w:eastAsia="Arial" w:hAnsi="Arial"/>
      <w:sz w:val="22"/>
      <w:szCs w:val="22"/>
      <w:lang w:val="fr-LU" w:eastAsia="en-US"/>
    </w:rPr>
  </w:style>
  <w:style w:type="paragraph" w:styleId="Adressedestinataire">
    <w:name w:val="envelope address"/>
    <w:basedOn w:val="Normal"/>
    <w:uiPriority w:val="99"/>
    <w:semiHidden/>
    <w:unhideWhenUsed/>
    <w:rsid w:val="00C029AD"/>
    <w:pPr>
      <w:framePr w:w="7938" w:h="1985" w:hRule="exact" w:hSpace="141" w:wrap="auto" w:hAnchor="page" w:xAlign="center" w:yAlign="bottom"/>
      <w:ind w:left="2835"/>
    </w:pPr>
    <w:rPr>
      <w:rFonts w:ascii="Arial" w:hAnsi="Arial"/>
      <w:sz w:val="24"/>
      <w:szCs w:val="24"/>
    </w:rPr>
  </w:style>
  <w:style w:type="paragraph" w:styleId="Textedebulles">
    <w:name w:val="Balloon Text"/>
    <w:basedOn w:val="Normal"/>
    <w:link w:val="TextedebullesCar"/>
    <w:uiPriority w:val="99"/>
    <w:semiHidden/>
    <w:unhideWhenUsed/>
    <w:rsid w:val="00B12A39"/>
    <w:rPr>
      <w:rFonts w:ascii="Tahoma" w:hAnsi="Tahoma" w:cs="Tahoma"/>
      <w:sz w:val="16"/>
      <w:szCs w:val="16"/>
    </w:rPr>
  </w:style>
  <w:style w:type="character" w:customStyle="1" w:styleId="TextedebullesCar">
    <w:name w:val="Texte de bulles Car"/>
    <w:basedOn w:val="Policepardfaut"/>
    <w:link w:val="Textedebulles"/>
    <w:uiPriority w:val="99"/>
    <w:semiHidden/>
    <w:rsid w:val="00B12A39"/>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DP6434</FileClassificationLevel3>
    <FileClassificationLevel4 xmlns="84f9a6a8-f2d8-4679-afd4-008cbd8c3661" xsi:nil="true"/>
    <MeetingNumber xmlns="84f9a6a8-f2d8-4679-afd4-008cbd8c3661" xsi:nil="true"/>
    <CaseCreationDate xmlns="84f9a6a8-f2d8-4679-afd4-008cbd8c3661" xsi:nil="true"/>
    <CaseSubType xmlns="84f9a6a8-f2d8-4679-afd4-008cbd8c3661">Débat d'orientation</CaseSubType>
    <MeetingDate xmlns="84f9a6a8-f2d8-4679-afd4-008cbd8c3661" xsi:nil="true"/>
    <FileClassificationLevel5 xmlns="84f9a6a8-f2d8-4679-afd4-008cbd8c3661" xsi:nil="true"/>
    <CaseType xmlns="84f9a6a8-f2d8-4679-afd4-008cbd8c3661">Debate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6434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/sftpecos/Dossiers_parlementaires/6434/</WDocsPath>
    <FileSecurityLevel_x0020_ xmlns="84f9a6a8-f2d8-4679-afd4-008cbd8c3661">CHD_Level1_Public</FileSecurityLevel_x0020_>
    <Suffixe_x0020_du_x0020_Numéro_x0020_parlementaire xmlns="84f9a6a8-f2d8-4679-afd4-008cbd8c3661" xsi:nil="true"/>
    <FileClassificationLevel2 xmlns="84f9a6a8-f2d8-4679-afd4-008cbd8c3661" xsi:nil="true"/>
    <TaxCatchAll xmlns="84f9a6a8-f2d8-4679-afd4-008cbd8c3661" xsi:nil="true"/>
  </documentManagement>
</p:properties>
</file>

<file path=customXml/itemProps1.xml><?xml version="1.0" encoding="utf-8"?>
<ds:datastoreItem xmlns:ds="http://schemas.openxmlformats.org/officeDocument/2006/customXml" ds:itemID="{5DD1FCFF-3CC8-44B6-8298-325D9B58D961}"/>
</file>

<file path=customXml/itemProps2.xml><?xml version="1.0" encoding="utf-8"?>
<ds:datastoreItem xmlns:ds="http://schemas.openxmlformats.org/officeDocument/2006/customXml" ds:itemID="{99F50323-8E9A-42D3-AE1C-00F010682DF4}"/>
</file>

<file path=customXml/itemProps3.xml><?xml version="1.0" encoding="utf-8"?>
<ds:datastoreItem xmlns:ds="http://schemas.openxmlformats.org/officeDocument/2006/customXml" ds:itemID="{893B5F10-16BC-4DF7-9DC3-D9CF9841A46E}"/>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4179</Characters>
  <Application>Microsoft Office Word</Application>
  <DocSecurity>4</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cp:lastModifiedBy>SYSTEM</cp:lastModifiedBy>
  <cp:revision>2</cp:revision>
  <cp:lastPrinted>2013-05-08T15:16:00Z</cp:lastPrinted>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