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798" w:rsidRDefault="00DC5798" w:rsidP="00DC5798">
      <w:pPr>
        <w:ind w:left="1701" w:firstLine="567"/>
        <w:jc w:val="both"/>
        <w:rPr>
          <w:sz w:val="24"/>
        </w:rPr>
      </w:pPr>
      <w:bookmarkStart w:id="0" w:name="_GoBack"/>
      <w:bookmarkEnd w:id="0"/>
    </w:p>
    <w:p w:rsidR="00DC5798" w:rsidRPr="007F71EA" w:rsidRDefault="00DC5798" w:rsidP="00DC5798">
      <w:pPr>
        <w:jc w:val="center"/>
        <w:outlineLvl w:val="0"/>
        <w:rPr>
          <w:b/>
          <w:sz w:val="32"/>
          <w:szCs w:val="32"/>
        </w:rPr>
      </w:pPr>
      <w:r w:rsidRPr="007F71EA">
        <w:rPr>
          <w:b/>
          <w:sz w:val="32"/>
          <w:szCs w:val="32"/>
        </w:rPr>
        <w:t>N°6424</w:t>
      </w:r>
    </w:p>
    <w:p w:rsidR="00DC5798" w:rsidRPr="009C55D0" w:rsidRDefault="00DC5798" w:rsidP="00DC5798">
      <w:pPr>
        <w:pBdr>
          <w:bottom w:val="thinThickSmallGap" w:sz="24" w:space="1" w:color="auto"/>
        </w:pBdr>
        <w:jc w:val="center"/>
        <w:rPr>
          <w:b/>
        </w:rPr>
      </w:pPr>
    </w:p>
    <w:p w:rsidR="00DC5798" w:rsidRPr="009C55D0" w:rsidRDefault="00DC5798" w:rsidP="00DC5798">
      <w:pPr>
        <w:jc w:val="both"/>
        <w:rPr>
          <w:b/>
        </w:rPr>
      </w:pPr>
    </w:p>
    <w:p w:rsidR="00DC5798" w:rsidRPr="00783D7A" w:rsidRDefault="00DC5798" w:rsidP="00DC5798">
      <w:pPr>
        <w:jc w:val="center"/>
        <w:outlineLvl w:val="0"/>
        <w:rPr>
          <w:b/>
          <w:sz w:val="32"/>
          <w:szCs w:val="32"/>
        </w:rPr>
      </w:pPr>
      <w:r w:rsidRPr="00783D7A">
        <w:rPr>
          <w:b/>
          <w:sz w:val="32"/>
          <w:szCs w:val="32"/>
        </w:rPr>
        <w:t>Projet de loi</w:t>
      </w:r>
    </w:p>
    <w:p w:rsidR="00DC5798" w:rsidRPr="007F71EA" w:rsidRDefault="00DC5798" w:rsidP="00DC5798">
      <w:pPr>
        <w:jc w:val="center"/>
        <w:rPr>
          <w:b/>
          <w:sz w:val="28"/>
          <w:szCs w:val="28"/>
        </w:rPr>
      </w:pPr>
    </w:p>
    <w:p w:rsidR="00DC5798" w:rsidRPr="00783D7A" w:rsidRDefault="00DC5798" w:rsidP="00DC5798">
      <w:pPr>
        <w:adjustRightInd w:val="0"/>
        <w:jc w:val="center"/>
        <w:rPr>
          <w:b/>
          <w:bCs/>
          <w:sz w:val="28"/>
          <w:szCs w:val="28"/>
          <w:lang w:val="fr-LU"/>
        </w:rPr>
      </w:pPr>
      <w:r w:rsidRPr="00783D7A">
        <w:rPr>
          <w:b/>
          <w:bCs/>
          <w:sz w:val="28"/>
          <w:szCs w:val="28"/>
          <w:lang w:val="fr-LU"/>
        </w:rPr>
        <w:t>portant modification de:</w:t>
      </w:r>
    </w:p>
    <w:p w:rsidR="00DC5798" w:rsidRPr="00783D7A" w:rsidRDefault="00DC5798" w:rsidP="00DC5798">
      <w:pPr>
        <w:adjustRightInd w:val="0"/>
        <w:jc w:val="center"/>
        <w:rPr>
          <w:b/>
          <w:bCs/>
          <w:sz w:val="28"/>
          <w:szCs w:val="28"/>
          <w:lang w:val="fr-LU"/>
        </w:rPr>
      </w:pPr>
    </w:p>
    <w:p w:rsidR="00DC5798" w:rsidRPr="00783D7A" w:rsidRDefault="00DC5798" w:rsidP="00DC5798">
      <w:pPr>
        <w:adjustRightInd w:val="0"/>
        <w:jc w:val="center"/>
        <w:outlineLvl w:val="0"/>
        <w:rPr>
          <w:b/>
          <w:bCs/>
          <w:sz w:val="28"/>
          <w:szCs w:val="28"/>
          <w:lang w:val="fr-LU"/>
        </w:rPr>
      </w:pPr>
      <w:r w:rsidRPr="00783D7A">
        <w:rPr>
          <w:b/>
          <w:bCs/>
          <w:sz w:val="28"/>
          <w:szCs w:val="28"/>
          <w:lang w:val="fr-LU"/>
        </w:rPr>
        <w:t>1) la loi modifiée du 16 avril 2003 relative à l’assurance obligatoire</w:t>
      </w:r>
    </w:p>
    <w:p w:rsidR="00DC5798" w:rsidRPr="00783D7A" w:rsidRDefault="00DC5798" w:rsidP="00DC5798">
      <w:pPr>
        <w:adjustRightInd w:val="0"/>
        <w:jc w:val="center"/>
        <w:rPr>
          <w:b/>
          <w:bCs/>
          <w:sz w:val="28"/>
          <w:szCs w:val="28"/>
          <w:lang w:val="fr-LU"/>
        </w:rPr>
      </w:pPr>
      <w:r w:rsidRPr="00783D7A">
        <w:rPr>
          <w:b/>
          <w:bCs/>
          <w:sz w:val="28"/>
          <w:szCs w:val="28"/>
          <w:lang w:val="fr-LU"/>
        </w:rPr>
        <w:t>de la responsabilité civile en matière de véhicules automoteurs;</w:t>
      </w:r>
    </w:p>
    <w:p w:rsidR="00DC5798" w:rsidRPr="00783D7A" w:rsidRDefault="00DC5798" w:rsidP="00DC5798">
      <w:pPr>
        <w:adjustRightInd w:val="0"/>
        <w:jc w:val="center"/>
        <w:rPr>
          <w:b/>
          <w:bCs/>
          <w:sz w:val="28"/>
          <w:szCs w:val="28"/>
          <w:lang w:val="fr-LU"/>
        </w:rPr>
      </w:pPr>
    </w:p>
    <w:p w:rsidR="00DC5798" w:rsidRPr="00783D7A" w:rsidRDefault="00DC5798" w:rsidP="00DC5798">
      <w:pPr>
        <w:jc w:val="center"/>
        <w:outlineLvl w:val="0"/>
        <w:rPr>
          <w:b/>
          <w:sz w:val="28"/>
          <w:szCs w:val="28"/>
        </w:rPr>
      </w:pPr>
      <w:r w:rsidRPr="00783D7A">
        <w:rPr>
          <w:b/>
          <w:bCs/>
          <w:sz w:val="28"/>
          <w:szCs w:val="28"/>
          <w:lang w:val="fr-LU"/>
        </w:rPr>
        <w:t>2) la loi modifiée du 27 juillet 1997 sur le contrat d’assurance</w:t>
      </w:r>
    </w:p>
    <w:p w:rsidR="00DC5798" w:rsidRDefault="00DC5798" w:rsidP="00DC5798">
      <w:pPr>
        <w:ind w:left="1701" w:firstLine="567"/>
        <w:jc w:val="both"/>
        <w:rPr>
          <w:sz w:val="24"/>
        </w:rPr>
      </w:pPr>
    </w:p>
    <w:p w:rsidR="00DC5798" w:rsidRDefault="00DC5798" w:rsidP="00DC5798">
      <w:pPr>
        <w:ind w:left="1701" w:firstLine="567"/>
        <w:jc w:val="both"/>
        <w:rPr>
          <w:sz w:val="24"/>
        </w:rPr>
      </w:pPr>
    </w:p>
    <w:p w:rsidR="00DC5798" w:rsidRPr="009F2B1B" w:rsidRDefault="00DC5798" w:rsidP="00DC5798">
      <w:pPr>
        <w:jc w:val="both"/>
        <w:rPr>
          <w:sz w:val="24"/>
        </w:rPr>
      </w:pPr>
      <w:r w:rsidRPr="009F2B1B">
        <w:rPr>
          <w:sz w:val="24"/>
        </w:rPr>
        <w:t>Le projet de loi sous rubrique entend, d’une part, introduire un régime de protection de la victime faible en lui permettant, sous certaines conditions, de bénéficier d’une indemnisation des dégâts matériels et du préjudice corporel qu’elle a subi</w:t>
      </w:r>
      <w:r w:rsidRPr="00CD55BE">
        <w:rPr>
          <w:sz w:val="24"/>
        </w:rPr>
        <w:t>s</w:t>
      </w:r>
      <w:r>
        <w:rPr>
          <w:sz w:val="24"/>
        </w:rPr>
        <w:t xml:space="preserve"> </w:t>
      </w:r>
      <w:r w:rsidRPr="009F2B1B">
        <w:rPr>
          <w:sz w:val="24"/>
        </w:rPr>
        <w:t>même lorsqu’elle aurait commis un</w:t>
      </w:r>
      <w:r>
        <w:rPr>
          <w:sz w:val="24"/>
        </w:rPr>
        <w:t>e</w:t>
      </w:r>
      <w:r w:rsidRPr="009F2B1B">
        <w:rPr>
          <w:sz w:val="24"/>
        </w:rPr>
        <w:t xml:space="preserve"> faute, et</w:t>
      </w:r>
      <w:r>
        <w:rPr>
          <w:sz w:val="24"/>
        </w:rPr>
        <w:t>,</w:t>
      </w:r>
      <w:r w:rsidRPr="009F2B1B">
        <w:rPr>
          <w:sz w:val="24"/>
        </w:rPr>
        <w:t xml:space="preserve"> d’autre part, renforcer la protection des preneurs d’assurance en cas d’adaptation tarifaire en facilitant l’exercice de leur droit de résiliation annuelle.</w:t>
      </w:r>
    </w:p>
    <w:p w:rsidR="00720036" w:rsidRPr="00DC5798" w:rsidRDefault="00720036">
      <w:pPr>
        <w:rPr>
          <w:sz w:val="24"/>
          <w:szCs w:val="24"/>
        </w:rPr>
      </w:pPr>
    </w:p>
    <w:sectPr w:rsidR="00720036" w:rsidRPr="00DC5798" w:rsidSect="007200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21956"/>
    <w:multiLevelType w:val="hybridMultilevel"/>
    <w:tmpl w:val="5FB039C8"/>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5798"/>
    <w:rsid w:val="0008140F"/>
    <w:rsid w:val="002C7509"/>
    <w:rsid w:val="00720036"/>
    <w:rsid w:val="008E1D01"/>
    <w:rsid w:val="00DC579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462B53C-0DC4-428A-9E80-7368CDA72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798"/>
    <w:pPr>
      <w:autoSpaceDE w:val="0"/>
      <w:autoSpaceDN w:val="0"/>
    </w:pPr>
    <w:rPr>
      <w:rFonts w:ascii="Times New Roman" w:eastAsia="Times New Roman" w:hAnsi="Times New Roman"/>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C5798"/>
    <w:pPr>
      <w:autoSpaceDE/>
      <w:autoSpaceDN/>
      <w:spacing w:after="200" w:line="276" w:lineRule="auto"/>
      <w:ind w:left="720"/>
      <w:contextualSpacing/>
    </w:pPr>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DP6424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6424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/sftpecos/Dossiers_parlementaires/6424/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6385DE87-7B28-4BF5-B11A-BDE8FDB8B808}"/>
</file>

<file path=customXml/itemProps2.xml><?xml version="1.0" encoding="utf-8"?>
<ds:datastoreItem xmlns:ds="http://schemas.openxmlformats.org/officeDocument/2006/customXml" ds:itemID="{9D546141-3678-4D1D-9210-AE6F90B81127}"/>
</file>

<file path=customXml/itemProps3.xml><?xml version="1.0" encoding="utf-8"?>
<ds:datastoreItem xmlns:ds="http://schemas.openxmlformats.org/officeDocument/2006/customXml" ds:itemID="{798E1975-8105-4F03-9C6F-F89A6243CC6D}"/>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600</Characters>
  <Application>Microsoft Office Word</Application>
  <DocSecurity>4</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Carole Closener</dc:creator>
  <cp:keywords/>
  <cp:lastModifiedBy>SYSTEM</cp:lastModifiedBy>
  <cp:revision>2</cp:revision>
  <dcterms:created xsi:type="dcterms:W3CDTF">2024-02-21T07:47:00Z</dcterms:created>
  <dcterms:modified xsi:type="dcterms:W3CDTF">2024-02-21T07:47:00Z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