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11" w:rsidRPr="00F95D03" w:rsidRDefault="00E41711" w:rsidP="00FF17D3">
      <w:pPr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/>
          <w:sz w:val="22"/>
          <w:lang w:val="fr-LU"/>
        </w:rPr>
      </w:pPr>
      <w:bookmarkStart w:id="0" w:name="_GoBack"/>
      <w:bookmarkEnd w:id="0"/>
      <w:r w:rsidRPr="00F95D03">
        <w:rPr>
          <w:rFonts w:ascii="Arial" w:hAnsi="Arial" w:cs="Arial"/>
          <w:b/>
          <w:color w:val="000000"/>
          <w:sz w:val="22"/>
        </w:rPr>
        <w:t>Projet de loi</w:t>
      </w:r>
      <w:r w:rsidR="00FF17D3" w:rsidRPr="00F95D03">
        <w:rPr>
          <w:rFonts w:ascii="Arial" w:hAnsi="Arial" w:cs="Arial"/>
          <w:b/>
          <w:color w:val="000000"/>
          <w:sz w:val="22"/>
        </w:rPr>
        <w:t xml:space="preserve"> 6398 </w:t>
      </w:r>
      <w:r w:rsidRPr="00F95D03">
        <w:rPr>
          <w:rFonts w:ascii="Arial" w:hAnsi="Arial" w:cs="Arial"/>
          <w:b/>
          <w:bCs/>
          <w:color w:val="000000"/>
          <w:sz w:val="22"/>
          <w:lang w:val="fr-LU"/>
        </w:rPr>
        <w:t>portant modification de:</w:t>
      </w:r>
    </w:p>
    <w:p w:rsidR="004847FC" w:rsidRPr="00F95D03" w:rsidRDefault="004847FC" w:rsidP="00FF17D3">
      <w:pPr>
        <w:spacing w:line="240" w:lineRule="auto"/>
        <w:ind w:right="567"/>
        <w:jc w:val="both"/>
        <w:rPr>
          <w:rFonts w:ascii="Arial" w:hAnsi="Arial" w:cs="Arial"/>
          <w:b/>
          <w:color w:val="000000"/>
          <w:sz w:val="22"/>
        </w:rPr>
      </w:pPr>
      <w:r w:rsidRPr="00F95D03">
        <w:rPr>
          <w:rFonts w:ascii="Arial" w:hAnsi="Arial" w:cs="Arial"/>
          <w:b/>
          <w:color w:val="000000"/>
          <w:sz w:val="22"/>
        </w:rPr>
        <w:t>– la loi modifiée du 6 décembre 1991 sur le secteur des assurances;</w:t>
      </w:r>
    </w:p>
    <w:p w:rsidR="00E41711" w:rsidRPr="00F95D03" w:rsidRDefault="004847FC" w:rsidP="00FF17D3">
      <w:pPr>
        <w:spacing w:line="240" w:lineRule="auto"/>
        <w:ind w:right="567"/>
        <w:jc w:val="both"/>
        <w:rPr>
          <w:rFonts w:ascii="Arial" w:hAnsi="Arial" w:cs="Arial"/>
          <w:b/>
          <w:color w:val="000000"/>
          <w:sz w:val="22"/>
        </w:rPr>
      </w:pPr>
      <w:r w:rsidRPr="00F95D03">
        <w:rPr>
          <w:rFonts w:ascii="Arial" w:hAnsi="Arial" w:cs="Arial"/>
          <w:b/>
          <w:color w:val="000000"/>
          <w:sz w:val="22"/>
        </w:rPr>
        <w:t>– la loi modifiée du 12 novembre 2004 relative à la lutte contre le blanchiment et contre le financement du terrorisme</w:t>
      </w:r>
    </w:p>
    <w:p w:rsidR="000C3EBB" w:rsidRPr="00F95D03" w:rsidRDefault="00E61298" w:rsidP="009D0420">
      <w:pPr>
        <w:spacing w:line="240" w:lineRule="auto"/>
        <w:jc w:val="both"/>
        <w:rPr>
          <w:rFonts w:ascii="Arial" w:hAnsi="Arial" w:cs="Arial"/>
          <w:color w:val="000000"/>
          <w:sz w:val="22"/>
        </w:rPr>
      </w:pPr>
      <w:r w:rsidRPr="00F95D03">
        <w:rPr>
          <w:rFonts w:ascii="Arial" w:hAnsi="Arial" w:cs="Arial"/>
          <w:color w:val="000000"/>
          <w:sz w:val="22"/>
        </w:rPr>
        <w:t xml:space="preserve">Le projet de loi a pour objectif d’apporter des </w:t>
      </w:r>
      <w:r w:rsidR="00522E42" w:rsidRPr="00F95D03">
        <w:rPr>
          <w:rFonts w:ascii="Arial" w:hAnsi="Arial" w:cs="Arial"/>
          <w:color w:val="000000"/>
          <w:sz w:val="22"/>
        </w:rPr>
        <w:t xml:space="preserve">modifications à la loi modifiée du 6 décembre 1991 sur le secteur des assurances pour restructurer ladite loi en vue d’une meilleure lisibilité et d’une cohérence juridique renforcée. </w:t>
      </w:r>
      <w:r w:rsidR="00FF17D3" w:rsidRPr="00F95D03">
        <w:rPr>
          <w:rFonts w:ascii="Arial" w:hAnsi="Arial" w:cs="Arial"/>
          <w:color w:val="000000"/>
          <w:sz w:val="22"/>
        </w:rPr>
        <w:t>Il</w:t>
      </w:r>
      <w:r w:rsidR="00DF47B8" w:rsidRPr="00F95D03">
        <w:rPr>
          <w:rFonts w:ascii="Arial" w:hAnsi="Arial" w:cs="Arial"/>
          <w:color w:val="000000"/>
          <w:sz w:val="22"/>
        </w:rPr>
        <w:t xml:space="preserve"> anticipe également </w:t>
      </w:r>
      <w:r w:rsidR="00522E42" w:rsidRPr="00F95D03">
        <w:rPr>
          <w:rFonts w:ascii="Arial" w:hAnsi="Arial" w:cs="Arial"/>
          <w:color w:val="000000"/>
          <w:sz w:val="22"/>
        </w:rPr>
        <w:t>l’entrée en vigueur de la directive</w:t>
      </w:r>
      <w:r w:rsidR="00DF47B8" w:rsidRPr="00F95D03">
        <w:rPr>
          <w:rFonts w:ascii="Arial" w:hAnsi="Arial" w:cs="Arial"/>
          <w:color w:val="000000"/>
          <w:sz w:val="22"/>
        </w:rPr>
        <w:t xml:space="preserve"> </w:t>
      </w:r>
      <w:r w:rsidR="00522E42" w:rsidRPr="00F95D03">
        <w:rPr>
          <w:rFonts w:ascii="Arial" w:hAnsi="Arial" w:cs="Arial"/>
          <w:color w:val="000000"/>
          <w:sz w:val="22"/>
        </w:rPr>
        <w:t>Solvabilité II</w:t>
      </w:r>
      <w:r w:rsidR="00DF47B8" w:rsidRPr="00F95D03">
        <w:rPr>
          <w:rFonts w:ascii="Arial" w:hAnsi="Arial" w:cs="Arial"/>
          <w:color w:val="000000"/>
          <w:sz w:val="22"/>
        </w:rPr>
        <w:t xml:space="preserve"> </w:t>
      </w:r>
      <w:r w:rsidR="008B61E9" w:rsidRPr="00F95D03">
        <w:rPr>
          <w:rFonts w:ascii="Arial" w:hAnsi="Arial" w:cs="Arial"/>
          <w:color w:val="000000"/>
          <w:sz w:val="22"/>
        </w:rPr>
        <w:t>par la création de "</w:t>
      </w:r>
      <w:r w:rsidR="00DF47B8" w:rsidRPr="00F95D03">
        <w:rPr>
          <w:rFonts w:ascii="Arial" w:hAnsi="Arial" w:cs="Arial"/>
          <w:color w:val="000000"/>
          <w:sz w:val="22"/>
        </w:rPr>
        <w:t>professionnels du secteur de l’assurance“, à l’image des professionnels du secteur financier.</w:t>
      </w:r>
    </w:p>
    <w:p w:rsidR="00E61298" w:rsidRPr="00F95D03" w:rsidRDefault="00E61298" w:rsidP="009D04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2"/>
          <w:lang w:val="fr-LU" w:eastAsia="fr-LU"/>
        </w:rPr>
      </w:pPr>
      <w:r w:rsidRPr="00F95D03">
        <w:rPr>
          <w:rFonts w:ascii="Arial" w:eastAsia="Times New Roman" w:hAnsi="Arial" w:cs="Arial"/>
          <w:color w:val="000000"/>
          <w:sz w:val="22"/>
          <w:lang w:val="fr-LU" w:eastAsia="fr-LU"/>
        </w:rPr>
        <w:t>Le projet de loi a particulièrement pour objet:</w:t>
      </w:r>
    </w:p>
    <w:p w:rsidR="00E61298" w:rsidRPr="00F95D03" w:rsidRDefault="00751038" w:rsidP="009D04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2"/>
          <w:lang w:val="fr-LU" w:eastAsia="fr-LU"/>
        </w:rPr>
      </w:pPr>
      <w:r w:rsidRPr="00F95D03">
        <w:rPr>
          <w:rFonts w:ascii="Arial" w:eastAsia="Times New Roman" w:hAnsi="Arial" w:cs="Arial"/>
          <w:color w:val="000000"/>
          <w:sz w:val="22"/>
          <w:lang w:val="fr-LU" w:eastAsia="fr-LU"/>
        </w:rPr>
        <w:t xml:space="preserve">de </w:t>
      </w:r>
      <w:r w:rsidR="00E61298" w:rsidRPr="00F95D03">
        <w:rPr>
          <w:rFonts w:ascii="Arial" w:eastAsia="Times New Roman" w:hAnsi="Arial" w:cs="Arial"/>
          <w:color w:val="000000"/>
          <w:sz w:val="22"/>
          <w:lang w:val="fr-LU" w:eastAsia="fr-LU"/>
        </w:rPr>
        <w:t>rassembler dans une partie unique de la loi modifiée du 6 décembre 1991 sur le secteur des assurances les dispositions actuelles régissant différents professionnels du secteur de l'assurance (PSA) d'ores et déjà existants;</w:t>
      </w:r>
    </w:p>
    <w:p w:rsidR="00E61298" w:rsidRPr="00F95D03" w:rsidRDefault="00751038" w:rsidP="009D04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2"/>
          <w:lang w:val="fr-LU" w:eastAsia="fr-LU"/>
        </w:rPr>
      </w:pPr>
      <w:r w:rsidRPr="00F95D03">
        <w:rPr>
          <w:rFonts w:ascii="Arial" w:eastAsia="Times New Roman" w:hAnsi="Arial" w:cs="Arial"/>
          <w:color w:val="000000"/>
          <w:sz w:val="22"/>
          <w:lang w:val="fr-LU" w:eastAsia="fr-LU"/>
        </w:rPr>
        <w:t xml:space="preserve">de </w:t>
      </w:r>
      <w:r w:rsidR="00E61298" w:rsidRPr="00F95D03">
        <w:rPr>
          <w:rFonts w:ascii="Arial" w:eastAsia="Times New Roman" w:hAnsi="Arial" w:cs="Arial"/>
          <w:color w:val="000000"/>
          <w:sz w:val="22"/>
          <w:lang w:val="fr-LU" w:eastAsia="fr-LU"/>
        </w:rPr>
        <w:t>créer et organiser de nouvelles professions au sein du secteur de l'assurance en les soumettant à une surveillance prudentielle appropriée et en leur appliquant, pour autant que de besoin, les obligations de confidentialité de l'article 111-1 de la loi;</w:t>
      </w:r>
    </w:p>
    <w:p w:rsidR="00E61298" w:rsidRPr="00F95D03" w:rsidRDefault="00751038" w:rsidP="009D04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2"/>
          <w:lang w:val="fr-LU" w:eastAsia="fr-LU"/>
        </w:rPr>
      </w:pPr>
      <w:r w:rsidRPr="00F95D03">
        <w:rPr>
          <w:rFonts w:ascii="Arial" w:eastAsia="Times New Roman" w:hAnsi="Arial" w:cs="Arial"/>
          <w:color w:val="000000"/>
          <w:sz w:val="22"/>
          <w:lang w:val="fr-LU" w:eastAsia="fr-LU"/>
        </w:rPr>
        <w:t xml:space="preserve">de </w:t>
      </w:r>
      <w:r w:rsidR="00E61298" w:rsidRPr="00F95D03">
        <w:rPr>
          <w:rFonts w:ascii="Arial" w:eastAsia="Times New Roman" w:hAnsi="Arial" w:cs="Arial"/>
          <w:color w:val="000000"/>
          <w:sz w:val="22"/>
          <w:lang w:val="fr-LU" w:eastAsia="fr-LU"/>
        </w:rPr>
        <w:t xml:space="preserve">faciliter pour les entreprises d'assurances et de réassurances le recours à la </w:t>
      </w:r>
      <w:r w:rsidR="008B61E9" w:rsidRPr="00F95D03">
        <w:rPr>
          <w:rFonts w:ascii="Arial" w:eastAsia="Times New Roman" w:hAnsi="Arial" w:cs="Arial"/>
          <w:color w:val="000000"/>
          <w:sz w:val="22"/>
          <w:lang w:val="fr-LU" w:eastAsia="fr-LU"/>
        </w:rPr>
        <w:t xml:space="preserve">                   </w:t>
      </w:r>
      <w:r w:rsidR="00E61298" w:rsidRPr="00F95D03">
        <w:rPr>
          <w:rFonts w:ascii="Arial" w:eastAsia="Times New Roman" w:hAnsi="Arial" w:cs="Arial"/>
          <w:color w:val="000000"/>
          <w:sz w:val="22"/>
          <w:lang w:val="fr-LU" w:eastAsia="fr-LU"/>
        </w:rPr>
        <w:t>sous-traitance de certaines de leurs activités;</w:t>
      </w:r>
    </w:p>
    <w:p w:rsidR="00E61298" w:rsidRPr="00F95D03" w:rsidRDefault="00751038" w:rsidP="009D04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2"/>
          <w:lang w:val="fr-LU" w:eastAsia="fr-LU"/>
        </w:rPr>
      </w:pPr>
      <w:r w:rsidRPr="00F95D03">
        <w:rPr>
          <w:rFonts w:ascii="Arial" w:eastAsia="Times New Roman" w:hAnsi="Arial" w:cs="Arial"/>
          <w:color w:val="000000"/>
          <w:sz w:val="22"/>
          <w:lang w:val="fr-LU" w:eastAsia="fr-LU"/>
        </w:rPr>
        <w:t>d’</w:t>
      </w:r>
      <w:r w:rsidR="00E61298" w:rsidRPr="00F95D03">
        <w:rPr>
          <w:rFonts w:ascii="Arial" w:eastAsia="Times New Roman" w:hAnsi="Arial" w:cs="Arial"/>
          <w:color w:val="000000"/>
          <w:sz w:val="22"/>
          <w:lang w:val="fr-LU" w:eastAsia="fr-LU"/>
        </w:rPr>
        <w:t>adapter et compléter les dispositions applicables aux intermédiaires d'assurances et de réassurances.</w:t>
      </w:r>
    </w:p>
    <w:p w:rsidR="00B11F8C" w:rsidRPr="00F95D03" w:rsidRDefault="00B11F8C" w:rsidP="009D0420">
      <w:pPr>
        <w:spacing w:after="0" w:line="240" w:lineRule="auto"/>
        <w:jc w:val="both"/>
        <w:rPr>
          <w:rFonts w:ascii="Arial" w:hAnsi="Arial" w:cs="Arial"/>
          <w:color w:val="000000"/>
          <w:sz w:val="22"/>
        </w:rPr>
      </w:pPr>
      <w:r w:rsidRPr="00F95D03">
        <w:rPr>
          <w:rFonts w:ascii="Arial" w:hAnsi="Arial" w:cs="Arial"/>
          <w:color w:val="000000"/>
          <w:sz w:val="22"/>
        </w:rPr>
        <w:t xml:space="preserve">La partie V de la </w:t>
      </w:r>
      <w:r w:rsidR="00FF17D3" w:rsidRPr="00F95D03">
        <w:rPr>
          <w:rFonts w:ascii="Arial" w:hAnsi="Arial" w:cs="Arial"/>
          <w:color w:val="000000"/>
          <w:sz w:val="22"/>
        </w:rPr>
        <w:t xml:space="preserve">loi </w:t>
      </w:r>
      <w:r w:rsidRPr="00F95D03">
        <w:rPr>
          <w:rFonts w:ascii="Arial" w:hAnsi="Arial" w:cs="Arial"/>
          <w:color w:val="000000"/>
          <w:sz w:val="22"/>
        </w:rPr>
        <w:t>modifiée du 6 décembre 1991 sur le secteur des assurances va regrouper à l’avenir tous les acteurs et activités désignés désormais comme „PSA“ (professionnels du secteur de l’assurance), de même que les intermédiaires d’assurances et de réassurances.</w:t>
      </w:r>
    </w:p>
    <w:p w:rsidR="00E61298" w:rsidRPr="00F95D03" w:rsidRDefault="00E61298" w:rsidP="009D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</w:rPr>
      </w:pPr>
    </w:p>
    <w:p w:rsidR="003F3C9E" w:rsidRPr="00F95D03" w:rsidRDefault="00F81A2F" w:rsidP="009D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lang w:val="fr-LU"/>
        </w:rPr>
      </w:pPr>
      <w:r w:rsidRPr="00F95D03">
        <w:rPr>
          <w:rFonts w:ascii="Arial" w:hAnsi="Arial" w:cs="Arial"/>
          <w:color w:val="000000"/>
          <w:sz w:val="22"/>
        </w:rPr>
        <w:t xml:space="preserve">Cette </w:t>
      </w:r>
      <w:r w:rsidR="000C3EBB" w:rsidRPr="00F95D03">
        <w:rPr>
          <w:rFonts w:ascii="Arial" w:hAnsi="Arial" w:cs="Arial"/>
          <w:color w:val="000000"/>
          <w:sz w:val="22"/>
        </w:rPr>
        <w:t xml:space="preserve">partie V de la loi </w:t>
      </w:r>
      <w:r w:rsidRPr="00F95D03">
        <w:rPr>
          <w:rFonts w:ascii="Arial" w:hAnsi="Arial" w:cs="Arial"/>
          <w:color w:val="000000"/>
          <w:sz w:val="22"/>
        </w:rPr>
        <w:t xml:space="preserve">est </w:t>
      </w:r>
      <w:r w:rsidR="000C3EBB" w:rsidRPr="00F95D03">
        <w:rPr>
          <w:rFonts w:ascii="Arial" w:hAnsi="Arial" w:cs="Arial"/>
          <w:color w:val="000000"/>
          <w:sz w:val="22"/>
        </w:rPr>
        <w:t>actuellement réservée aux dirigeants d’entreprises d’assurances et aux intermédiaires d’assurances.</w:t>
      </w:r>
      <w:r w:rsidR="00E61298" w:rsidRPr="00F95D03">
        <w:rPr>
          <w:rFonts w:ascii="Arial" w:hAnsi="Arial" w:cs="Arial"/>
          <w:color w:val="000000"/>
          <w:sz w:val="22"/>
          <w:lang w:val="fr-LU"/>
        </w:rPr>
        <w:t xml:space="preserve"> </w:t>
      </w:r>
      <w:r w:rsidR="00751038" w:rsidRPr="00F95D03">
        <w:rPr>
          <w:rFonts w:ascii="Arial" w:hAnsi="Arial" w:cs="Arial"/>
          <w:color w:val="000000"/>
          <w:sz w:val="22"/>
          <w:lang w:val="fr-LU"/>
        </w:rPr>
        <w:t>Elle</w:t>
      </w:r>
      <w:r w:rsidR="00E61298" w:rsidRPr="00F95D03">
        <w:rPr>
          <w:rFonts w:ascii="Arial" w:hAnsi="Arial" w:cs="Arial"/>
          <w:color w:val="000000"/>
          <w:sz w:val="22"/>
        </w:rPr>
        <w:t xml:space="preserve"> est désormais étendue pour </w:t>
      </w:r>
      <w:r w:rsidR="004C1A27" w:rsidRPr="00F95D03">
        <w:rPr>
          <w:rFonts w:ascii="Arial" w:hAnsi="Arial" w:cs="Arial"/>
          <w:color w:val="000000"/>
          <w:sz w:val="22"/>
          <w:lang w:val="fr-LU"/>
        </w:rPr>
        <w:t>recueillir toutes les</w:t>
      </w:r>
      <w:r w:rsidR="008D70F1" w:rsidRPr="00F95D03">
        <w:rPr>
          <w:rFonts w:ascii="Arial" w:hAnsi="Arial" w:cs="Arial"/>
          <w:color w:val="000000"/>
          <w:sz w:val="22"/>
          <w:lang w:val="fr-LU"/>
        </w:rPr>
        <w:t xml:space="preserve"> </w:t>
      </w:r>
      <w:r w:rsidR="004C1A27" w:rsidRPr="00F95D03">
        <w:rPr>
          <w:rFonts w:ascii="Arial" w:hAnsi="Arial" w:cs="Arial"/>
          <w:color w:val="000000"/>
          <w:sz w:val="22"/>
          <w:lang w:val="fr-LU"/>
        </w:rPr>
        <w:t>dispositions relatives aux PSA et aux dirigeants</w:t>
      </w:r>
      <w:r w:rsidR="00FF17D3" w:rsidRPr="00F95D03">
        <w:rPr>
          <w:rFonts w:ascii="Arial" w:hAnsi="Arial" w:cs="Arial"/>
          <w:color w:val="000000"/>
          <w:sz w:val="22"/>
          <w:lang w:val="fr-LU"/>
        </w:rPr>
        <w:t>.</w:t>
      </w:r>
      <w:r w:rsidR="00C81729" w:rsidRPr="00F95D03">
        <w:rPr>
          <w:rFonts w:ascii="Arial" w:hAnsi="Arial" w:cs="Arial"/>
          <w:color w:val="000000"/>
          <w:sz w:val="22"/>
          <w:lang w:val="fr-LU"/>
        </w:rPr>
        <w:t xml:space="preserve"> </w:t>
      </w:r>
      <w:r w:rsidR="001304C5" w:rsidRPr="00F95D03">
        <w:rPr>
          <w:rFonts w:ascii="Arial" w:hAnsi="Arial" w:cs="Arial"/>
          <w:sz w:val="22"/>
          <w:lang w:val="fr-LU"/>
        </w:rPr>
        <w:t xml:space="preserve">Suite à l’opposition formelle du Conseil d’Etat, il a été décidé d’ouvrir le </w:t>
      </w:r>
      <w:r w:rsidR="00715A94" w:rsidRPr="00F95D03">
        <w:rPr>
          <w:rFonts w:ascii="Arial" w:hAnsi="Arial" w:cs="Arial"/>
          <w:sz w:val="22"/>
          <w:lang w:val="fr-LU"/>
        </w:rPr>
        <w:t>statut</w:t>
      </w:r>
      <w:r w:rsidR="001304C5" w:rsidRPr="00F95D03">
        <w:rPr>
          <w:rFonts w:ascii="Arial" w:hAnsi="Arial" w:cs="Arial"/>
          <w:sz w:val="22"/>
          <w:lang w:val="fr-LU"/>
        </w:rPr>
        <w:t xml:space="preserve"> de </w:t>
      </w:r>
      <w:r w:rsidR="00715A94" w:rsidRPr="00F95D03">
        <w:rPr>
          <w:rFonts w:ascii="Arial" w:hAnsi="Arial" w:cs="Arial"/>
          <w:sz w:val="22"/>
          <w:lang w:val="fr-LU"/>
        </w:rPr>
        <w:t xml:space="preserve">certains </w:t>
      </w:r>
      <w:r w:rsidR="001304C5" w:rsidRPr="00F95D03">
        <w:rPr>
          <w:rFonts w:ascii="Arial" w:hAnsi="Arial" w:cs="Arial"/>
          <w:sz w:val="22"/>
          <w:lang w:val="fr-LU"/>
        </w:rPr>
        <w:t xml:space="preserve">PSA aux personnes physiques. </w:t>
      </w:r>
    </w:p>
    <w:p w:rsidR="003F3C9E" w:rsidRPr="00F95D03" w:rsidRDefault="003F3C9E" w:rsidP="009D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</w:rPr>
      </w:pPr>
    </w:p>
    <w:p w:rsidR="00C81729" w:rsidRPr="00F95D03" w:rsidRDefault="000C3EBB" w:rsidP="009D0420">
      <w:pPr>
        <w:spacing w:line="240" w:lineRule="auto"/>
        <w:jc w:val="both"/>
        <w:rPr>
          <w:rFonts w:ascii="Arial" w:hAnsi="Arial" w:cs="Arial"/>
          <w:color w:val="000000"/>
          <w:sz w:val="22"/>
        </w:rPr>
      </w:pPr>
      <w:r w:rsidRPr="00F95D03">
        <w:rPr>
          <w:rFonts w:ascii="Arial" w:hAnsi="Arial" w:cs="Arial"/>
          <w:color w:val="000000"/>
          <w:sz w:val="22"/>
        </w:rPr>
        <w:t xml:space="preserve">Bien que les intermédiaires d’assurances et de réassurances soient aussi des professionnels de l’assurance au sens large, ils gardent, à l’intérieur de la partie V, une place à part et ne sont pas visés sous le sigle de „PSA“. </w:t>
      </w:r>
    </w:p>
    <w:p w:rsidR="000C3EBB" w:rsidRPr="00F95D03" w:rsidRDefault="000C3EBB" w:rsidP="009D0420">
      <w:pPr>
        <w:spacing w:line="240" w:lineRule="auto"/>
        <w:jc w:val="both"/>
        <w:rPr>
          <w:rFonts w:ascii="Arial" w:hAnsi="Arial" w:cs="Arial"/>
          <w:color w:val="000000"/>
          <w:sz w:val="22"/>
        </w:rPr>
      </w:pPr>
      <w:r w:rsidRPr="00F95D03">
        <w:rPr>
          <w:rFonts w:ascii="Arial" w:hAnsi="Arial" w:cs="Arial"/>
          <w:color w:val="000000"/>
          <w:sz w:val="22"/>
        </w:rPr>
        <w:t>Les idées qui ont présidé à la rédaction des nouveaux textes sont les suivantes:</w:t>
      </w:r>
    </w:p>
    <w:p w:rsidR="000C3EBB" w:rsidRPr="00F95D03" w:rsidRDefault="000C3EBB" w:rsidP="009D0420">
      <w:pPr>
        <w:spacing w:line="240" w:lineRule="auto"/>
        <w:jc w:val="both"/>
        <w:rPr>
          <w:rFonts w:ascii="Arial" w:hAnsi="Arial" w:cs="Arial"/>
          <w:color w:val="000000"/>
          <w:sz w:val="22"/>
        </w:rPr>
      </w:pPr>
      <w:r w:rsidRPr="00F95D03">
        <w:rPr>
          <w:rFonts w:ascii="Arial" w:hAnsi="Arial" w:cs="Arial"/>
          <w:color w:val="000000"/>
          <w:sz w:val="22"/>
        </w:rPr>
        <w:t>– compléter la liste des PSF surveillés par la CSSF par des catégories de professionnels nécessaires au secteur des assurances;</w:t>
      </w:r>
    </w:p>
    <w:p w:rsidR="000C3EBB" w:rsidRPr="00F95D03" w:rsidRDefault="000C3EBB" w:rsidP="009D0420">
      <w:pPr>
        <w:spacing w:line="240" w:lineRule="auto"/>
        <w:jc w:val="both"/>
        <w:rPr>
          <w:rFonts w:ascii="Arial" w:hAnsi="Arial" w:cs="Arial"/>
          <w:color w:val="000000"/>
          <w:sz w:val="22"/>
        </w:rPr>
      </w:pPr>
      <w:r w:rsidRPr="00F95D03">
        <w:rPr>
          <w:rFonts w:ascii="Arial" w:hAnsi="Arial" w:cs="Arial"/>
          <w:color w:val="000000"/>
          <w:sz w:val="22"/>
        </w:rPr>
        <w:t>– aligner dans la mesure du possible les nouvelles dispositions sur celles régissant les PSF surveillés  par la CSSF;</w:t>
      </w:r>
    </w:p>
    <w:p w:rsidR="000C3EBB" w:rsidRPr="00F95D03" w:rsidRDefault="000C3EBB" w:rsidP="009D0420">
      <w:pPr>
        <w:spacing w:line="240" w:lineRule="auto"/>
        <w:jc w:val="both"/>
        <w:rPr>
          <w:rFonts w:ascii="Arial" w:hAnsi="Arial" w:cs="Arial"/>
          <w:color w:val="000000"/>
          <w:sz w:val="22"/>
        </w:rPr>
      </w:pPr>
      <w:r w:rsidRPr="00F95D03">
        <w:rPr>
          <w:rFonts w:ascii="Arial" w:hAnsi="Arial" w:cs="Arial"/>
          <w:color w:val="000000"/>
          <w:sz w:val="22"/>
        </w:rPr>
        <w:t xml:space="preserve">– maintenir l’acquis de la législation actuelle qui a fait ses preuves pour les PSA d’ores et déjà </w:t>
      </w:r>
      <w:r w:rsidR="003F3C9E" w:rsidRPr="00F95D03">
        <w:rPr>
          <w:rFonts w:ascii="Arial" w:hAnsi="Arial" w:cs="Arial"/>
          <w:color w:val="000000"/>
          <w:sz w:val="22"/>
        </w:rPr>
        <w:t>existants.</w:t>
      </w:r>
    </w:p>
    <w:p w:rsidR="000C3EBB" w:rsidRPr="00F95D03" w:rsidRDefault="004C1A27" w:rsidP="009D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</w:rPr>
      </w:pPr>
      <w:r w:rsidRPr="00F95D03">
        <w:rPr>
          <w:rFonts w:ascii="Arial" w:hAnsi="Arial" w:cs="Arial"/>
          <w:color w:val="000000"/>
          <w:sz w:val="22"/>
          <w:lang w:val="fr-LU"/>
        </w:rPr>
        <w:t>Le projet de</w:t>
      </w:r>
      <w:r w:rsidR="003F3C9E" w:rsidRPr="00F95D03">
        <w:rPr>
          <w:rFonts w:ascii="Arial" w:hAnsi="Arial" w:cs="Arial"/>
          <w:color w:val="000000"/>
          <w:sz w:val="22"/>
          <w:lang w:val="fr-LU"/>
        </w:rPr>
        <w:t xml:space="preserve"> loi</w:t>
      </w:r>
      <w:r w:rsidRPr="00F95D03">
        <w:rPr>
          <w:rFonts w:ascii="Arial" w:hAnsi="Arial" w:cs="Arial"/>
          <w:color w:val="000000"/>
          <w:sz w:val="22"/>
          <w:lang w:val="fr-LU"/>
        </w:rPr>
        <w:t xml:space="preserve"> opère également une distinction plus claire entre les personnes physiques assurant la direction </w:t>
      </w:r>
      <w:r w:rsidRPr="00F95D03">
        <w:rPr>
          <w:rFonts w:ascii="Arial" w:hAnsi="Arial" w:cs="Arial"/>
          <w:color w:val="000000"/>
          <w:sz w:val="22"/>
        </w:rPr>
        <w:t>d’une entreprise d’assurances, de réassurance ou de fonds de pension</w:t>
      </w:r>
      <w:r w:rsidRPr="00F95D03">
        <w:rPr>
          <w:rFonts w:ascii="Arial" w:hAnsi="Arial" w:cs="Arial"/>
          <w:color w:val="000000"/>
          <w:sz w:val="22"/>
          <w:lang w:val="fr-LU"/>
        </w:rPr>
        <w:t xml:space="preserve"> et les PSA</w:t>
      </w:r>
      <w:r w:rsidR="008B61E9" w:rsidRPr="00F95D03">
        <w:rPr>
          <w:rFonts w:ascii="Arial" w:hAnsi="Arial" w:cs="Arial"/>
          <w:color w:val="000000"/>
          <w:sz w:val="22"/>
          <w:lang w:val="fr-LU"/>
        </w:rPr>
        <w:t xml:space="preserve"> </w:t>
      </w:r>
      <w:r w:rsidRPr="00F95D03">
        <w:rPr>
          <w:rFonts w:ascii="Arial" w:hAnsi="Arial" w:cs="Arial"/>
          <w:color w:val="000000"/>
          <w:sz w:val="22"/>
          <w:lang w:val="fr-LU"/>
        </w:rPr>
        <w:t>fournissant des prestations de gestion ou assumant la fonction de dirigeant.</w:t>
      </w:r>
      <w:r w:rsidR="00203815" w:rsidRPr="00F95D03">
        <w:rPr>
          <w:rFonts w:ascii="Arial" w:hAnsi="Arial" w:cs="Arial"/>
          <w:color w:val="000000"/>
          <w:sz w:val="22"/>
          <w:lang w:val="fr-LU"/>
        </w:rPr>
        <w:t xml:space="preserve"> Ces</w:t>
      </w:r>
      <w:r w:rsidRPr="00F95D03">
        <w:rPr>
          <w:rFonts w:ascii="Arial" w:hAnsi="Arial" w:cs="Arial"/>
          <w:color w:val="000000"/>
          <w:sz w:val="22"/>
          <w:lang w:val="fr-LU"/>
        </w:rPr>
        <w:t xml:space="preserve"> activités </w:t>
      </w:r>
      <w:r w:rsidR="000C3EBB" w:rsidRPr="00F95D03">
        <w:rPr>
          <w:rFonts w:ascii="Arial" w:hAnsi="Arial" w:cs="Arial"/>
          <w:color w:val="000000"/>
          <w:sz w:val="22"/>
        </w:rPr>
        <w:t xml:space="preserve">exigent une continuité dans le temps et </w:t>
      </w:r>
      <w:r w:rsidRPr="00F95D03">
        <w:rPr>
          <w:rFonts w:ascii="Arial" w:hAnsi="Arial" w:cs="Arial"/>
          <w:color w:val="000000"/>
          <w:sz w:val="22"/>
        </w:rPr>
        <w:t>doivent</w:t>
      </w:r>
      <w:r w:rsidR="000C3EBB" w:rsidRPr="00F95D03">
        <w:rPr>
          <w:rFonts w:ascii="Arial" w:hAnsi="Arial" w:cs="Arial"/>
          <w:color w:val="000000"/>
          <w:sz w:val="22"/>
        </w:rPr>
        <w:t xml:space="preserve"> être confiées de préférence à des personnes morales disposant de ressources permettant d’assurer la pérennité des opérations.</w:t>
      </w:r>
    </w:p>
    <w:p w:rsidR="004767B1" w:rsidRPr="00F95D03" w:rsidRDefault="004D4A7A" w:rsidP="009D04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2"/>
          <w:lang w:val="fr-LU" w:eastAsia="fr-LU"/>
        </w:rPr>
      </w:pPr>
      <w:r w:rsidRPr="00F95D03">
        <w:rPr>
          <w:rFonts w:ascii="Arial" w:eastAsia="Times New Roman" w:hAnsi="Arial" w:cs="Arial"/>
          <w:color w:val="000000"/>
          <w:sz w:val="22"/>
          <w:lang w:val="fr-LU" w:eastAsia="fr-LU"/>
        </w:rPr>
        <w:lastRenderedPageBreak/>
        <w:t>A</w:t>
      </w:r>
      <w:r w:rsidR="00522E42" w:rsidRPr="00F95D03">
        <w:rPr>
          <w:rFonts w:ascii="Arial" w:eastAsia="Times New Roman" w:hAnsi="Arial" w:cs="Arial"/>
          <w:color w:val="000000"/>
          <w:sz w:val="22"/>
          <w:lang w:val="fr-LU" w:eastAsia="fr-LU"/>
        </w:rPr>
        <w:t xml:space="preserve"> l'instar des gestionnaires de fonds de pension et des PSF, les professionnels du secteur de l'assurance et les courtiers devront disposer à l'avenir d'assises financières suffisantes</w:t>
      </w:r>
      <w:r w:rsidR="00203815" w:rsidRPr="00F95D03">
        <w:rPr>
          <w:rFonts w:ascii="Arial" w:eastAsia="Times New Roman" w:hAnsi="Arial" w:cs="Arial"/>
          <w:color w:val="000000"/>
          <w:sz w:val="22"/>
          <w:lang w:val="fr-LU" w:eastAsia="fr-LU"/>
        </w:rPr>
        <w:t>.</w:t>
      </w:r>
      <w:r w:rsidR="00522E42" w:rsidRPr="00F95D03">
        <w:rPr>
          <w:rFonts w:ascii="Arial" w:eastAsia="Times New Roman" w:hAnsi="Arial" w:cs="Arial"/>
          <w:color w:val="000000"/>
          <w:sz w:val="22"/>
          <w:lang w:val="fr-LU" w:eastAsia="fr-LU"/>
        </w:rPr>
        <w:t xml:space="preserve"> </w:t>
      </w:r>
    </w:p>
    <w:p w:rsidR="00C81729" w:rsidRPr="00F95D03" w:rsidRDefault="004767B1" w:rsidP="00C817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2"/>
          <w:lang w:val="fr-LU" w:eastAsia="fr-LU"/>
        </w:rPr>
      </w:pPr>
      <w:r w:rsidRPr="00F95D03">
        <w:rPr>
          <w:rFonts w:ascii="Arial" w:eastAsia="Times New Roman" w:hAnsi="Arial" w:cs="Arial"/>
          <w:sz w:val="22"/>
          <w:lang w:val="fr-LU" w:eastAsia="fr-LU"/>
        </w:rPr>
        <w:t>Le texte de loi retenu prévoit finalement les dispositions suivantes </w:t>
      </w:r>
      <w:r w:rsidRPr="00F95D03">
        <w:rPr>
          <w:rFonts w:ascii="Arial" w:hAnsi="Arial" w:cs="Arial"/>
          <w:sz w:val="22"/>
        </w:rPr>
        <w:t>pour venir à la rencontre des sociétés dites « start-up » voulant se lancer dans une activité de PSA</w:t>
      </w:r>
      <w:r w:rsidRPr="00F95D03">
        <w:rPr>
          <w:rFonts w:ascii="Arial" w:eastAsia="Times New Roman" w:hAnsi="Arial" w:cs="Arial"/>
          <w:sz w:val="22"/>
          <w:lang w:val="fr-LU" w:eastAsia="fr-LU"/>
        </w:rPr>
        <w:t>:</w:t>
      </w:r>
    </w:p>
    <w:p w:rsidR="00F76ABF" w:rsidRPr="00F95D03" w:rsidRDefault="00F76ABF" w:rsidP="00C8172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2"/>
        </w:rPr>
      </w:pPr>
      <w:r w:rsidRPr="00F95D03">
        <w:rPr>
          <w:rFonts w:ascii="Arial" w:hAnsi="Arial" w:cs="Arial"/>
          <w:sz w:val="22"/>
        </w:rPr>
        <w:t>L’agrément comme PSA pour les personnes morales est subordonné à un capital libéré d’au moins 50.000 euros.</w:t>
      </w:r>
      <w:r w:rsidR="004767B1" w:rsidRPr="00F95D03">
        <w:rPr>
          <w:rFonts w:ascii="Arial" w:hAnsi="Arial" w:cs="Arial"/>
          <w:sz w:val="22"/>
        </w:rPr>
        <w:t xml:space="preserve"> Ces personnes morales disposent d’un délai de cinq ans à partir de l’agrément pour porter leur capital libéré à 125.000 euros au moins. </w:t>
      </w:r>
    </w:p>
    <w:p w:rsidR="00985E2F" w:rsidRPr="00F95D03" w:rsidRDefault="00F76ABF" w:rsidP="004767B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95D03">
        <w:rPr>
          <w:rFonts w:ascii="Arial" w:hAnsi="Arial" w:cs="Arial"/>
          <w:sz w:val="22"/>
          <w:szCs w:val="22"/>
        </w:rPr>
        <w:t xml:space="preserve">Les </w:t>
      </w:r>
      <w:r w:rsidR="004767B1" w:rsidRPr="00F95D03">
        <w:rPr>
          <w:rFonts w:ascii="Arial" w:hAnsi="Arial" w:cs="Arial"/>
          <w:sz w:val="22"/>
          <w:szCs w:val="22"/>
        </w:rPr>
        <w:t>PSA personnes physiques devr</w:t>
      </w:r>
      <w:r w:rsidRPr="00F95D03">
        <w:rPr>
          <w:rFonts w:ascii="Arial" w:hAnsi="Arial" w:cs="Arial"/>
          <w:sz w:val="22"/>
          <w:szCs w:val="22"/>
        </w:rPr>
        <w:t>ont</w:t>
      </w:r>
      <w:r w:rsidR="004767B1" w:rsidRPr="00F95D03">
        <w:rPr>
          <w:rFonts w:ascii="Arial" w:hAnsi="Arial" w:cs="Arial"/>
          <w:sz w:val="22"/>
          <w:szCs w:val="22"/>
        </w:rPr>
        <w:t xml:space="preserve"> disposer d’un patrimoine net minimum de 25.000 euros à l’agrément et de 50.000 euros au moins à l’issue de 5 ans.</w:t>
      </w:r>
      <w:r w:rsidR="00985E2F" w:rsidRPr="00F95D03">
        <w:rPr>
          <w:rFonts w:ascii="Arial" w:hAnsi="Arial" w:cs="Arial"/>
          <w:sz w:val="22"/>
          <w:szCs w:val="22"/>
        </w:rPr>
        <w:t xml:space="preserve"> </w:t>
      </w:r>
    </w:p>
    <w:p w:rsidR="00F76ABF" w:rsidRPr="00F95D03" w:rsidRDefault="00F76ABF" w:rsidP="009D0420">
      <w:pPr>
        <w:spacing w:line="240" w:lineRule="auto"/>
        <w:jc w:val="both"/>
        <w:rPr>
          <w:rFonts w:ascii="Arial" w:hAnsi="Arial" w:cs="Arial"/>
          <w:color w:val="000000"/>
          <w:sz w:val="22"/>
        </w:rPr>
      </w:pPr>
    </w:p>
    <w:p w:rsidR="000C3EBB" w:rsidRPr="00F95D03" w:rsidRDefault="000C3EBB" w:rsidP="009D0420">
      <w:pPr>
        <w:spacing w:line="240" w:lineRule="auto"/>
        <w:jc w:val="both"/>
        <w:rPr>
          <w:rFonts w:ascii="Arial" w:hAnsi="Arial" w:cs="Arial"/>
          <w:color w:val="000000"/>
          <w:sz w:val="22"/>
        </w:rPr>
      </w:pPr>
      <w:r w:rsidRPr="00F95D03">
        <w:rPr>
          <w:rFonts w:ascii="Arial" w:hAnsi="Arial" w:cs="Arial"/>
          <w:color w:val="000000"/>
          <w:sz w:val="22"/>
        </w:rPr>
        <w:t>Mis à part les courtiers d’assurances ou de réassurances indépendants, il est à noter qu’aucune exigence d’assises financières ne s’applique pour une personne physique</w:t>
      </w:r>
      <w:r w:rsidR="00C81729" w:rsidRPr="00F95D03">
        <w:rPr>
          <w:rFonts w:ascii="Arial" w:hAnsi="Arial" w:cs="Arial"/>
          <w:color w:val="000000"/>
          <w:sz w:val="22"/>
        </w:rPr>
        <w:t>.</w:t>
      </w:r>
      <w:r w:rsidR="003F3C9E" w:rsidRPr="00F95D03">
        <w:rPr>
          <w:rFonts w:ascii="Arial" w:hAnsi="Arial" w:cs="Arial"/>
          <w:color w:val="000000"/>
          <w:sz w:val="22"/>
        </w:rPr>
        <w:t xml:space="preserve"> </w:t>
      </w:r>
    </w:p>
    <w:p w:rsidR="009F76D2" w:rsidRPr="00F95D03" w:rsidRDefault="008D70F1" w:rsidP="009F76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2"/>
          <w:lang w:val="fr-LU" w:eastAsia="fr-LU"/>
        </w:rPr>
      </w:pPr>
      <w:r w:rsidRPr="00F95D03">
        <w:rPr>
          <w:rFonts w:ascii="Arial" w:eastAsia="Times New Roman" w:hAnsi="Arial" w:cs="Arial"/>
          <w:color w:val="000000"/>
          <w:sz w:val="22"/>
          <w:lang w:val="fr-LU" w:eastAsia="fr-LU"/>
        </w:rPr>
        <w:t>P</w:t>
      </w:r>
      <w:r w:rsidR="00522E42" w:rsidRPr="00F95D03">
        <w:rPr>
          <w:rFonts w:ascii="Arial" w:eastAsia="Times New Roman" w:hAnsi="Arial" w:cs="Arial"/>
          <w:color w:val="000000"/>
          <w:sz w:val="22"/>
          <w:lang w:val="fr-LU" w:eastAsia="fr-LU"/>
        </w:rPr>
        <w:t>ar ailleurs, la soumission de l'agrément des différentes catégories de professionnels du secteur de l'assurance et de courtiers à des conditions renforcées d'exigences financières, de reporting</w:t>
      </w:r>
      <w:r w:rsidRPr="00F95D03">
        <w:rPr>
          <w:rFonts w:ascii="Arial" w:hAnsi="Arial" w:cs="Arial"/>
          <w:color w:val="000000"/>
          <w:sz w:val="22"/>
          <w:lang w:val="fr-LU"/>
        </w:rPr>
        <w:t xml:space="preserve"> (révision annuelle des documents comptables par un réviseur d’entreprises agréé)</w:t>
      </w:r>
      <w:r w:rsidR="00522E42" w:rsidRPr="00F95D03">
        <w:rPr>
          <w:rFonts w:ascii="Arial" w:eastAsia="Times New Roman" w:hAnsi="Arial" w:cs="Arial"/>
          <w:color w:val="000000"/>
          <w:sz w:val="22"/>
          <w:lang w:val="fr-LU" w:eastAsia="fr-LU"/>
        </w:rPr>
        <w:t xml:space="preserve"> et de surveillance a pour but d'éviter l'émergence de structures fragiles dont la défaillance aurait </w:t>
      </w:r>
      <w:r w:rsidR="00522E42" w:rsidRPr="00F95D03">
        <w:rPr>
          <w:rFonts w:ascii="Arial" w:eastAsia="Times New Roman" w:hAnsi="Arial" w:cs="Arial"/>
          <w:sz w:val="22"/>
          <w:lang w:val="fr-LU" w:eastAsia="fr-LU"/>
        </w:rPr>
        <w:t xml:space="preserve">un impact négatif sur la réputation et la solidité de la place financière dans son ensemble. </w:t>
      </w:r>
    </w:p>
    <w:p w:rsidR="00A16040" w:rsidRPr="00F95D03" w:rsidRDefault="000C3EBB" w:rsidP="00C817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val="fr-LU" w:eastAsia="fr-LU"/>
        </w:rPr>
      </w:pPr>
      <w:r w:rsidRPr="00F95D03">
        <w:rPr>
          <w:rFonts w:ascii="Arial" w:eastAsia="Times New Roman" w:hAnsi="Arial" w:cs="Arial"/>
          <w:color w:val="000000"/>
          <w:sz w:val="22"/>
          <w:lang w:val="fr-LU" w:eastAsia="fr-LU"/>
        </w:rPr>
        <w:t xml:space="preserve">En ce qui concerne la création de nouvelles professions au sein du secteur de l'assurance, </w:t>
      </w:r>
      <w:r w:rsidR="008D70F1" w:rsidRPr="00F95D03">
        <w:rPr>
          <w:rFonts w:ascii="Arial" w:hAnsi="Arial" w:cs="Arial"/>
          <w:color w:val="000000"/>
          <w:sz w:val="22"/>
        </w:rPr>
        <w:t xml:space="preserve">le présent projet de loi répond </w:t>
      </w:r>
      <w:r w:rsidR="00A16040" w:rsidRPr="00F95D03">
        <w:rPr>
          <w:rFonts w:ascii="Arial" w:hAnsi="Arial" w:cs="Arial"/>
          <w:color w:val="000000"/>
          <w:sz w:val="22"/>
        </w:rPr>
        <w:t xml:space="preserve">également à </w:t>
      </w:r>
      <w:r w:rsidR="008D70F1" w:rsidRPr="00F95D03">
        <w:rPr>
          <w:rFonts w:ascii="Arial" w:hAnsi="Arial" w:cs="Arial"/>
          <w:color w:val="000000"/>
          <w:sz w:val="22"/>
        </w:rPr>
        <w:t xml:space="preserve">la législation applicable dans un futur proche. </w:t>
      </w:r>
    </w:p>
    <w:p w:rsidR="003F3C9E" w:rsidRPr="00F95D03" w:rsidRDefault="003F3C9E" w:rsidP="009D04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val="fr-LU" w:eastAsia="fr-LU"/>
        </w:rPr>
      </w:pPr>
    </w:p>
    <w:p w:rsidR="000B43C5" w:rsidRPr="00F95D03" w:rsidRDefault="000C3EBB" w:rsidP="009D0420">
      <w:pPr>
        <w:spacing w:after="0" w:line="240" w:lineRule="auto"/>
        <w:jc w:val="both"/>
        <w:rPr>
          <w:rFonts w:ascii="Arial" w:hAnsi="Arial" w:cs="Arial"/>
          <w:color w:val="000000"/>
          <w:sz w:val="22"/>
        </w:rPr>
      </w:pPr>
      <w:r w:rsidRPr="00F95D03">
        <w:rPr>
          <w:rFonts w:ascii="Arial" w:hAnsi="Arial" w:cs="Arial"/>
          <w:color w:val="000000"/>
          <w:sz w:val="22"/>
        </w:rPr>
        <w:t>Enfin, le projet de loi étend le champ d’application de la loi modifiée du 12 novembre 2004 relative à la lutte contre le blanchiment et contre le financement du terrorisme aux PSA de manière à les soumettre aux exigences découlant de cette loi.</w:t>
      </w:r>
    </w:p>
    <w:p w:rsidR="000B43C5" w:rsidRPr="00F95D03" w:rsidRDefault="000B43C5" w:rsidP="009D0420">
      <w:pPr>
        <w:spacing w:after="0" w:line="240" w:lineRule="auto"/>
        <w:jc w:val="both"/>
        <w:rPr>
          <w:rFonts w:ascii="Arial" w:hAnsi="Arial" w:cs="Arial"/>
          <w:color w:val="000000"/>
          <w:sz w:val="22"/>
        </w:rPr>
      </w:pPr>
    </w:p>
    <w:p w:rsidR="0046061F" w:rsidRPr="00F95D03" w:rsidRDefault="0046061F" w:rsidP="009D0420">
      <w:pPr>
        <w:spacing w:after="0" w:line="240" w:lineRule="auto"/>
        <w:jc w:val="both"/>
        <w:rPr>
          <w:rFonts w:ascii="Arial" w:hAnsi="Arial" w:cs="Arial"/>
          <w:color w:val="000000"/>
          <w:sz w:val="22"/>
        </w:rPr>
      </w:pPr>
    </w:p>
    <w:sectPr w:rsidR="0046061F" w:rsidRPr="00F95D03" w:rsidSect="00651F9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56F" w:rsidRDefault="0038056F" w:rsidP="00617015">
      <w:pPr>
        <w:spacing w:after="0" w:line="240" w:lineRule="auto"/>
      </w:pPr>
      <w:r>
        <w:separator/>
      </w:r>
    </w:p>
  </w:endnote>
  <w:endnote w:type="continuationSeparator" w:id="0">
    <w:p w:rsidR="0038056F" w:rsidRDefault="0038056F" w:rsidP="0061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F55" w:rsidRDefault="00D827B3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57A7">
      <w:rPr>
        <w:noProof/>
      </w:rPr>
      <w:t>1</w:t>
    </w:r>
    <w:r>
      <w:fldChar w:fldCharType="end"/>
    </w:r>
  </w:p>
  <w:p w:rsidR="00200F55" w:rsidRDefault="00200F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56F" w:rsidRDefault="0038056F" w:rsidP="00617015">
      <w:pPr>
        <w:spacing w:after="0" w:line="240" w:lineRule="auto"/>
      </w:pPr>
      <w:r>
        <w:separator/>
      </w:r>
    </w:p>
  </w:footnote>
  <w:footnote w:type="continuationSeparator" w:id="0">
    <w:p w:rsidR="0038056F" w:rsidRDefault="0038056F" w:rsidP="0061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3B5"/>
    <w:multiLevelType w:val="hybridMultilevel"/>
    <w:tmpl w:val="817C1128"/>
    <w:lvl w:ilvl="0" w:tplc="47504B84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F4B84"/>
    <w:multiLevelType w:val="hybridMultilevel"/>
    <w:tmpl w:val="8E00FD3E"/>
    <w:lvl w:ilvl="0" w:tplc="78001C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F1CC9"/>
    <w:multiLevelType w:val="hybridMultilevel"/>
    <w:tmpl w:val="E8D4A9E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72DB"/>
    <w:multiLevelType w:val="hybridMultilevel"/>
    <w:tmpl w:val="5434DE90"/>
    <w:lvl w:ilvl="0" w:tplc="57E67288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155F0F"/>
    <w:multiLevelType w:val="hybridMultilevel"/>
    <w:tmpl w:val="1C30CE3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8755D"/>
    <w:multiLevelType w:val="multilevel"/>
    <w:tmpl w:val="C2BE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237588"/>
    <w:multiLevelType w:val="hybridMultilevel"/>
    <w:tmpl w:val="169CA504"/>
    <w:lvl w:ilvl="0" w:tplc="0809000F">
      <w:start w:val="1"/>
      <w:numFmt w:val="decimal"/>
      <w:lvlText w:val="%1."/>
      <w:lvlJc w:val="left"/>
      <w:pPr>
        <w:ind w:left="1374" w:hanging="360"/>
      </w:pPr>
    </w:lvl>
    <w:lvl w:ilvl="1" w:tplc="08090019">
      <w:start w:val="1"/>
      <w:numFmt w:val="decimal"/>
      <w:lvlText w:val="%2."/>
      <w:lvlJc w:val="left"/>
      <w:pPr>
        <w:tabs>
          <w:tab w:val="num" w:pos="2028"/>
        </w:tabs>
        <w:ind w:left="2028" w:hanging="360"/>
      </w:pPr>
    </w:lvl>
    <w:lvl w:ilvl="2" w:tplc="0809001B">
      <w:start w:val="1"/>
      <w:numFmt w:val="decimal"/>
      <w:lvlText w:val="%3."/>
      <w:lvlJc w:val="left"/>
      <w:pPr>
        <w:tabs>
          <w:tab w:val="num" w:pos="2748"/>
        </w:tabs>
        <w:ind w:left="2748" w:hanging="360"/>
      </w:pPr>
    </w:lvl>
    <w:lvl w:ilvl="3" w:tplc="0809000F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8090019">
      <w:start w:val="1"/>
      <w:numFmt w:val="decimal"/>
      <w:lvlText w:val="%5."/>
      <w:lvlJc w:val="left"/>
      <w:pPr>
        <w:tabs>
          <w:tab w:val="num" w:pos="4188"/>
        </w:tabs>
        <w:ind w:left="4188" w:hanging="360"/>
      </w:pPr>
    </w:lvl>
    <w:lvl w:ilvl="5" w:tplc="0809001B">
      <w:start w:val="1"/>
      <w:numFmt w:val="decimal"/>
      <w:lvlText w:val="%6."/>
      <w:lvlJc w:val="left"/>
      <w:pPr>
        <w:tabs>
          <w:tab w:val="num" w:pos="4908"/>
        </w:tabs>
        <w:ind w:left="4908" w:hanging="360"/>
      </w:pPr>
    </w:lvl>
    <w:lvl w:ilvl="6" w:tplc="0809000F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8090019">
      <w:start w:val="1"/>
      <w:numFmt w:val="decimal"/>
      <w:lvlText w:val="%8."/>
      <w:lvlJc w:val="left"/>
      <w:pPr>
        <w:tabs>
          <w:tab w:val="num" w:pos="6348"/>
        </w:tabs>
        <w:ind w:left="6348" w:hanging="360"/>
      </w:pPr>
    </w:lvl>
    <w:lvl w:ilvl="8" w:tplc="0809001B">
      <w:start w:val="1"/>
      <w:numFmt w:val="decimal"/>
      <w:lvlText w:val="%9."/>
      <w:lvlJc w:val="left"/>
      <w:pPr>
        <w:tabs>
          <w:tab w:val="num" w:pos="7068"/>
        </w:tabs>
        <w:ind w:left="7068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711"/>
    <w:rsid w:val="00011804"/>
    <w:rsid w:val="000408A8"/>
    <w:rsid w:val="00041421"/>
    <w:rsid w:val="0007663C"/>
    <w:rsid w:val="000B43C5"/>
    <w:rsid w:val="000B5FFD"/>
    <w:rsid w:val="000C3EBB"/>
    <w:rsid w:val="000C6BAD"/>
    <w:rsid w:val="000E1DB8"/>
    <w:rsid w:val="000F7550"/>
    <w:rsid w:val="00117266"/>
    <w:rsid w:val="00123BC7"/>
    <w:rsid w:val="001304C5"/>
    <w:rsid w:val="00145B21"/>
    <w:rsid w:val="001605A0"/>
    <w:rsid w:val="0017478F"/>
    <w:rsid w:val="001805A3"/>
    <w:rsid w:val="00200F55"/>
    <w:rsid w:val="002012FE"/>
    <w:rsid w:val="00203815"/>
    <w:rsid w:val="0024758C"/>
    <w:rsid w:val="00256DF1"/>
    <w:rsid w:val="00260A14"/>
    <w:rsid w:val="002806FA"/>
    <w:rsid w:val="00293155"/>
    <w:rsid w:val="002B1A98"/>
    <w:rsid w:val="002C23E1"/>
    <w:rsid w:val="002E60DA"/>
    <w:rsid w:val="00327710"/>
    <w:rsid w:val="0034358B"/>
    <w:rsid w:val="00344B46"/>
    <w:rsid w:val="0038056F"/>
    <w:rsid w:val="00390895"/>
    <w:rsid w:val="003D7384"/>
    <w:rsid w:val="003E0516"/>
    <w:rsid w:val="003E765A"/>
    <w:rsid w:val="003F3C9E"/>
    <w:rsid w:val="00442357"/>
    <w:rsid w:val="0046061F"/>
    <w:rsid w:val="00460FA5"/>
    <w:rsid w:val="00463227"/>
    <w:rsid w:val="00465827"/>
    <w:rsid w:val="004767B1"/>
    <w:rsid w:val="004847FC"/>
    <w:rsid w:val="004939CD"/>
    <w:rsid w:val="004B7BDF"/>
    <w:rsid w:val="004C1A27"/>
    <w:rsid w:val="004D0A3B"/>
    <w:rsid w:val="004D4A7A"/>
    <w:rsid w:val="004F5F15"/>
    <w:rsid w:val="00500B2B"/>
    <w:rsid w:val="00505282"/>
    <w:rsid w:val="00510C89"/>
    <w:rsid w:val="00522E42"/>
    <w:rsid w:val="00535070"/>
    <w:rsid w:val="005361F0"/>
    <w:rsid w:val="00543F83"/>
    <w:rsid w:val="00547A27"/>
    <w:rsid w:val="00571C31"/>
    <w:rsid w:val="00593CB9"/>
    <w:rsid w:val="005B1691"/>
    <w:rsid w:val="005B1EFA"/>
    <w:rsid w:val="005B5A91"/>
    <w:rsid w:val="005D5D07"/>
    <w:rsid w:val="005E751D"/>
    <w:rsid w:val="00617015"/>
    <w:rsid w:val="00634AA0"/>
    <w:rsid w:val="00641998"/>
    <w:rsid w:val="00644DB3"/>
    <w:rsid w:val="00651F9A"/>
    <w:rsid w:val="006625CF"/>
    <w:rsid w:val="00674086"/>
    <w:rsid w:val="00692169"/>
    <w:rsid w:val="006A0447"/>
    <w:rsid w:val="006C6B8C"/>
    <w:rsid w:val="006C6C0B"/>
    <w:rsid w:val="006D0149"/>
    <w:rsid w:val="00715A94"/>
    <w:rsid w:val="00751038"/>
    <w:rsid w:val="00760E97"/>
    <w:rsid w:val="007942C3"/>
    <w:rsid w:val="007E321C"/>
    <w:rsid w:val="00801214"/>
    <w:rsid w:val="00822E90"/>
    <w:rsid w:val="00834CA8"/>
    <w:rsid w:val="008657A7"/>
    <w:rsid w:val="00875D5A"/>
    <w:rsid w:val="008B61E9"/>
    <w:rsid w:val="008C04D2"/>
    <w:rsid w:val="008C2390"/>
    <w:rsid w:val="008D5E56"/>
    <w:rsid w:val="008D70F1"/>
    <w:rsid w:val="00906DF6"/>
    <w:rsid w:val="00962BF6"/>
    <w:rsid w:val="0097034E"/>
    <w:rsid w:val="00985E2F"/>
    <w:rsid w:val="00994D6E"/>
    <w:rsid w:val="009A2082"/>
    <w:rsid w:val="009B12D6"/>
    <w:rsid w:val="009D0420"/>
    <w:rsid w:val="009E3B65"/>
    <w:rsid w:val="009F76D2"/>
    <w:rsid w:val="00A11DA1"/>
    <w:rsid w:val="00A16040"/>
    <w:rsid w:val="00A5240C"/>
    <w:rsid w:val="00A70501"/>
    <w:rsid w:val="00AB3DDB"/>
    <w:rsid w:val="00AC2D87"/>
    <w:rsid w:val="00AC6E4C"/>
    <w:rsid w:val="00B05A8E"/>
    <w:rsid w:val="00B11F8C"/>
    <w:rsid w:val="00B526CF"/>
    <w:rsid w:val="00B816A2"/>
    <w:rsid w:val="00B81A20"/>
    <w:rsid w:val="00B97B5A"/>
    <w:rsid w:val="00BA2E01"/>
    <w:rsid w:val="00BB3997"/>
    <w:rsid w:val="00C22F28"/>
    <w:rsid w:val="00C26097"/>
    <w:rsid w:val="00C4663F"/>
    <w:rsid w:val="00C578E7"/>
    <w:rsid w:val="00C716A8"/>
    <w:rsid w:val="00C81729"/>
    <w:rsid w:val="00C8317E"/>
    <w:rsid w:val="00C84AD7"/>
    <w:rsid w:val="00D827B3"/>
    <w:rsid w:val="00D954B9"/>
    <w:rsid w:val="00DA0C1D"/>
    <w:rsid w:val="00DA4B76"/>
    <w:rsid w:val="00DC66D8"/>
    <w:rsid w:val="00DF47B8"/>
    <w:rsid w:val="00E41711"/>
    <w:rsid w:val="00E6093C"/>
    <w:rsid w:val="00E61298"/>
    <w:rsid w:val="00E83076"/>
    <w:rsid w:val="00E95509"/>
    <w:rsid w:val="00EA058A"/>
    <w:rsid w:val="00EA5B52"/>
    <w:rsid w:val="00EB7397"/>
    <w:rsid w:val="00ED7930"/>
    <w:rsid w:val="00F22DFF"/>
    <w:rsid w:val="00F331C1"/>
    <w:rsid w:val="00F45B79"/>
    <w:rsid w:val="00F56269"/>
    <w:rsid w:val="00F60954"/>
    <w:rsid w:val="00F717CE"/>
    <w:rsid w:val="00F749C0"/>
    <w:rsid w:val="00F74A38"/>
    <w:rsid w:val="00F752A8"/>
    <w:rsid w:val="00F76ABF"/>
    <w:rsid w:val="00F81A2F"/>
    <w:rsid w:val="00F81CC9"/>
    <w:rsid w:val="00F90E2C"/>
    <w:rsid w:val="00F95D03"/>
    <w:rsid w:val="00FC0F9E"/>
    <w:rsid w:val="00FE6929"/>
    <w:rsid w:val="00FF17D3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5:chartTrackingRefBased/>
  <w15:docId w15:val="{BD41EAD9-AEB1-4FCF-B233-38559E23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9C0"/>
    <w:pPr>
      <w:spacing w:after="200" w:line="276" w:lineRule="auto"/>
    </w:pPr>
    <w:rPr>
      <w:sz w:val="24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749C0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49C0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49C0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49C0"/>
    <w:pPr>
      <w:keepNext/>
      <w:spacing w:before="240" w:after="60"/>
      <w:outlineLvl w:val="3"/>
    </w:pPr>
    <w:rPr>
      <w:b/>
      <w:bCs/>
      <w:sz w:val="28"/>
      <w:szCs w:val="28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49C0"/>
    <w:pPr>
      <w:spacing w:before="240" w:after="60"/>
      <w:outlineLvl w:val="4"/>
    </w:pPr>
    <w:rPr>
      <w:b/>
      <w:bCs/>
      <w:i/>
      <w:iCs/>
      <w:sz w:val="26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49C0"/>
    <w:pPr>
      <w:spacing w:before="240" w:after="60"/>
      <w:outlineLvl w:val="5"/>
    </w:pPr>
    <w:rPr>
      <w:b/>
      <w:bCs/>
      <w:szCs w:val="24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49C0"/>
    <w:pPr>
      <w:spacing w:before="240" w:after="60"/>
      <w:outlineLvl w:val="6"/>
    </w:pPr>
    <w:rPr>
      <w:szCs w:val="24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49C0"/>
    <w:pPr>
      <w:spacing w:before="240" w:after="60"/>
      <w:outlineLvl w:val="7"/>
    </w:pPr>
    <w:rPr>
      <w:i/>
      <w:iCs/>
      <w:szCs w:val="24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49C0"/>
    <w:pPr>
      <w:spacing w:before="240" w:after="60"/>
      <w:outlineLvl w:val="8"/>
    </w:pPr>
    <w:rPr>
      <w:rFonts w:eastAsia="Times New Roman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49C0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749C0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749C0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F749C0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F749C0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F749C0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F749C0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749C0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F749C0"/>
    <w:rPr>
      <w:rFonts w:ascii="Times New Roman" w:eastAsia="Times New Roman" w:hAnsi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F749C0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F749C0"/>
    <w:rPr>
      <w:rFonts w:ascii="Times New Roman" w:eastAsia="Times New Roman" w:hAnsi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49C0"/>
    <w:pPr>
      <w:spacing w:after="60"/>
      <w:jc w:val="center"/>
      <w:outlineLvl w:val="1"/>
    </w:pPr>
    <w:rPr>
      <w:rFonts w:eastAsia="Times New Roman"/>
      <w:szCs w:val="24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F749C0"/>
    <w:rPr>
      <w:rFonts w:ascii="Times New Roman" w:eastAsia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749C0"/>
    <w:rPr>
      <w:b/>
      <w:bCs/>
    </w:rPr>
  </w:style>
  <w:style w:type="character" w:styleId="Accentuation">
    <w:name w:val="Emphasis"/>
    <w:basedOn w:val="Policepardfaut"/>
    <w:uiPriority w:val="20"/>
    <w:qFormat/>
    <w:rsid w:val="00F749C0"/>
    <w:rPr>
      <w:rFonts w:ascii="Times New Roman" w:hAnsi="Times New Roman"/>
      <w:b/>
      <w:i/>
      <w:iCs/>
    </w:rPr>
  </w:style>
  <w:style w:type="paragraph" w:styleId="Sansinterligne">
    <w:name w:val="No Spacing"/>
    <w:basedOn w:val="Normal"/>
    <w:uiPriority w:val="1"/>
    <w:qFormat/>
    <w:rsid w:val="00F749C0"/>
    <w:rPr>
      <w:szCs w:val="32"/>
    </w:rPr>
  </w:style>
  <w:style w:type="paragraph" w:styleId="Paragraphedeliste">
    <w:name w:val="List Paragraph"/>
    <w:basedOn w:val="Normal"/>
    <w:uiPriority w:val="34"/>
    <w:qFormat/>
    <w:rsid w:val="00F749C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749C0"/>
    <w:rPr>
      <w:i/>
      <w:szCs w:val="24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F749C0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49C0"/>
    <w:pPr>
      <w:ind w:left="720" w:right="720"/>
    </w:pPr>
    <w:rPr>
      <w:b/>
      <w:i/>
      <w:szCs w:val="24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49C0"/>
    <w:rPr>
      <w:b/>
      <w:i/>
      <w:sz w:val="24"/>
    </w:rPr>
  </w:style>
  <w:style w:type="character" w:styleId="Emphaseple">
    <w:name w:val="Subtle Emphasis"/>
    <w:uiPriority w:val="19"/>
    <w:qFormat/>
    <w:rsid w:val="00F749C0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F749C0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F749C0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F749C0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F749C0"/>
    <w:rPr>
      <w:rFonts w:ascii="Times New Roman" w:eastAsia="Times New Roman" w:hAnsi="Times New Roman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749C0"/>
    <w:pPr>
      <w:outlineLvl w:val="9"/>
    </w:pPr>
    <w:rPr>
      <w:lang w:val="fr-FR" w:bidi="ar-SA"/>
    </w:rPr>
  </w:style>
  <w:style w:type="paragraph" w:styleId="NormalWeb">
    <w:name w:val="Normal (Web)"/>
    <w:basedOn w:val="Normal"/>
    <w:unhideWhenUsed/>
    <w:rsid w:val="00E41711"/>
    <w:pPr>
      <w:spacing w:before="100" w:beforeAutospacing="1" w:after="100" w:afterAutospacing="1" w:line="240" w:lineRule="auto"/>
    </w:pPr>
    <w:rPr>
      <w:rFonts w:eastAsia="Times New Roman"/>
      <w:szCs w:val="24"/>
      <w:lang w:val="fr-LU" w:eastAsia="fr-LU"/>
    </w:rPr>
  </w:style>
  <w:style w:type="paragraph" w:styleId="Textebrut">
    <w:name w:val="Plain Text"/>
    <w:basedOn w:val="Normal"/>
    <w:link w:val="TextebrutCar"/>
    <w:rsid w:val="00E41711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bidi="en-US"/>
    </w:rPr>
  </w:style>
  <w:style w:type="character" w:customStyle="1" w:styleId="TextebrutCar">
    <w:name w:val="Texte brut Car"/>
    <w:basedOn w:val="Policepardfaut"/>
    <w:link w:val="Textebrut"/>
    <w:rsid w:val="00E41711"/>
    <w:rPr>
      <w:rFonts w:ascii="Courier New" w:eastAsia="Times New Roman" w:hAnsi="Courier New"/>
      <w:sz w:val="20"/>
      <w:szCs w:val="20"/>
      <w:lang w:val="fr-FR"/>
    </w:rPr>
  </w:style>
  <w:style w:type="paragraph" w:customStyle="1" w:styleId="Pa13">
    <w:name w:val="Pa13"/>
    <w:basedOn w:val="Normal"/>
    <w:next w:val="Normal"/>
    <w:uiPriority w:val="99"/>
    <w:rsid w:val="003D7384"/>
    <w:pPr>
      <w:autoSpaceDE w:val="0"/>
      <w:autoSpaceDN w:val="0"/>
      <w:adjustRightInd w:val="0"/>
      <w:spacing w:after="0" w:line="201" w:lineRule="atLeast"/>
    </w:pPr>
    <w:rPr>
      <w:szCs w:val="24"/>
      <w:lang w:val="fr-LU"/>
    </w:rPr>
  </w:style>
  <w:style w:type="paragraph" w:customStyle="1" w:styleId="Pa12">
    <w:name w:val="Pa12"/>
    <w:basedOn w:val="Normal"/>
    <w:next w:val="Normal"/>
    <w:uiPriority w:val="99"/>
    <w:rsid w:val="003D7384"/>
    <w:pPr>
      <w:autoSpaceDE w:val="0"/>
      <w:autoSpaceDN w:val="0"/>
      <w:adjustRightInd w:val="0"/>
      <w:spacing w:after="0" w:line="201" w:lineRule="atLeast"/>
    </w:pPr>
    <w:rPr>
      <w:szCs w:val="24"/>
      <w:lang w:val="fr-LU"/>
    </w:rPr>
  </w:style>
  <w:style w:type="paragraph" w:styleId="En-tte">
    <w:name w:val="header"/>
    <w:basedOn w:val="Normal"/>
    <w:link w:val="En-tteCar"/>
    <w:uiPriority w:val="99"/>
    <w:semiHidden/>
    <w:unhideWhenUsed/>
    <w:rsid w:val="00617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7015"/>
    <w:rPr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617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015"/>
    <w:rPr>
      <w:szCs w:val="22"/>
      <w:lang w:val="fr-FR" w:bidi="ar-SA"/>
    </w:rPr>
  </w:style>
  <w:style w:type="paragraph" w:customStyle="1" w:styleId="Default">
    <w:name w:val="Default"/>
    <w:rsid w:val="005B1EFA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5B1EFA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5B1EFA"/>
    <w:pPr>
      <w:spacing w:line="201" w:lineRule="atLeast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DP6398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6398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/sftpecos/Dossiers_parlementaires/6398/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386862A-D65C-424E-8BF5-E7F5D9ED7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13859-BFF8-4FD5-B120-4FA0142BF93D}"/>
</file>

<file path=customXml/itemProps3.xml><?xml version="1.0" encoding="utf-8"?>
<ds:datastoreItem xmlns:ds="http://schemas.openxmlformats.org/officeDocument/2006/customXml" ds:itemID="{FA1AB41B-CCA9-428C-9A44-ACE5C1F198E2}"/>
</file>

<file path=customXml/itemProps4.xml><?xml version="1.0" encoding="utf-8"?>
<ds:datastoreItem xmlns:ds="http://schemas.openxmlformats.org/officeDocument/2006/customXml" ds:itemID="{4C76A4BA-87D4-4A88-A758-F1FA0844A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4248</Characters>
  <Application>Microsoft Office Word</Application>
  <DocSecurity>4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cp:lastPrinted>2013-07-05T12:22:00Z</cp:lastPrinted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