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D9" w:rsidRPr="00956704" w:rsidRDefault="005056D9" w:rsidP="005056D9">
      <w:pPr>
        <w:pStyle w:val="Sansinterligne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PROJET DE LOI N° 6371</w:t>
      </w:r>
    </w:p>
    <w:p w:rsidR="005056D9" w:rsidRPr="00B52008" w:rsidRDefault="005056D9" w:rsidP="005056D9">
      <w:pPr>
        <w:pStyle w:val="Sansinterligne"/>
        <w:jc w:val="center"/>
        <w:rPr>
          <w:rFonts w:ascii="Arial" w:hAnsi="Arial" w:cs="Arial"/>
          <w:b/>
        </w:rPr>
      </w:pPr>
    </w:p>
    <w:p w:rsidR="005056D9" w:rsidRDefault="005056D9" w:rsidP="005056D9">
      <w:pPr>
        <w:jc w:val="both"/>
        <w:rPr>
          <w:rFonts w:ascii="Arial" w:hAnsi="Arial" w:cs="Arial"/>
          <w:b/>
          <w:sz w:val="22"/>
          <w:szCs w:val="22"/>
          <w:lang w:val="fr-LU"/>
        </w:rPr>
      </w:pPr>
      <w:r w:rsidRPr="00B52008">
        <w:rPr>
          <w:rFonts w:ascii="Arial" w:hAnsi="Arial" w:cs="Arial"/>
          <w:b/>
          <w:sz w:val="22"/>
          <w:szCs w:val="22"/>
          <w:lang w:val="fr-LU"/>
        </w:rPr>
        <w:t xml:space="preserve">modifiant </w:t>
      </w:r>
      <w:r>
        <w:rPr>
          <w:rFonts w:ascii="Arial" w:hAnsi="Arial" w:cs="Arial"/>
          <w:b/>
          <w:sz w:val="22"/>
          <w:szCs w:val="22"/>
          <w:lang w:val="fr-LU"/>
        </w:rPr>
        <w:t xml:space="preserve">la loi </w:t>
      </w:r>
      <w:r w:rsidRPr="005056D9">
        <w:rPr>
          <w:rFonts w:ascii="Arial" w:hAnsi="Arial" w:cs="Arial"/>
          <w:b/>
          <w:sz w:val="22"/>
          <w:szCs w:val="22"/>
          <w:lang w:val="fr-LU"/>
        </w:rPr>
        <w:t>modifiée</w:t>
      </w:r>
      <w:r>
        <w:rPr>
          <w:rFonts w:ascii="Arial" w:hAnsi="Arial" w:cs="Arial"/>
          <w:b/>
          <w:sz w:val="22"/>
          <w:szCs w:val="22"/>
          <w:lang w:val="fr-LU"/>
        </w:rPr>
        <w:t xml:space="preserve"> du 19 juin 2009 portant organisation de l’enseignement supérieur</w:t>
      </w:r>
    </w:p>
    <w:p w:rsidR="005056D9" w:rsidRDefault="005056D9" w:rsidP="005056D9">
      <w:pPr>
        <w:jc w:val="both"/>
        <w:rPr>
          <w:rFonts w:ascii="Arial" w:hAnsi="Arial" w:cs="Arial"/>
          <w:b/>
          <w:sz w:val="22"/>
          <w:szCs w:val="22"/>
          <w:lang w:val="fr-LU"/>
        </w:rPr>
      </w:pPr>
    </w:p>
    <w:p w:rsidR="005056D9" w:rsidRDefault="005056D9" w:rsidP="005056D9">
      <w:pPr>
        <w:jc w:val="both"/>
        <w:rPr>
          <w:rFonts w:ascii="Arial" w:hAnsi="Arial" w:cs="Arial"/>
          <w:b/>
          <w:sz w:val="22"/>
          <w:szCs w:val="22"/>
          <w:lang w:val="fr-LU"/>
        </w:rPr>
      </w:pPr>
    </w:p>
    <w:p w:rsidR="005056D9" w:rsidRDefault="0004452C" w:rsidP="005056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LU"/>
        </w:rPr>
        <w:t xml:space="preserve">Le projet de loi sous rubrique </w:t>
      </w:r>
      <w:r>
        <w:rPr>
          <w:rFonts w:ascii="Arial" w:hAnsi="Arial" w:cs="Arial"/>
          <w:sz w:val="22"/>
          <w:szCs w:val="22"/>
        </w:rPr>
        <w:t>vise à modifier la loi modifiée</w:t>
      </w:r>
      <w:r w:rsidRPr="00FC69B4">
        <w:rPr>
          <w:rFonts w:ascii="Arial" w:hAnsi="Arial" w:cs="Arial"/>
          <w:sz w:val="22"/>
          <w:szCs w:val="22"/>
        </w:rPr>
        <w:t xml:space="preserve"> du 19 juin 2009</w:t>
      </w:r>
      <w:r>
        <w:rPr>
          <w:rFonts w:ascii="Arial" w:hAnsi="Arial" w:cs="Arial"/>
          <w:sz w:val="22"/>
          <w:szCs w:val="22"/>
        </w:rPr>
        <w:t xml:space="preserve"> portant organisation de l’enseignement supérieur.</w:t>
      </w:r>
    </w:p>
    <w:p w:rsidR="0004452C" w:rsidRDefault="0004452C" w:rsidP="005056D9">
      <w:pPr>
        <w:jc w:val="both"/>
        <w:rPr>
          <w:rFonts w:ascii="Arial" w:hAnsi="Arial" w:cs="Arial"/>
          <w:sz w:val="22"/>
          <w:szCs w:val="22"/>
        </w:rPr>
      </w:pPr>
    </w:p>
    <w:p w:rsidR="0004452C" w:rsidRDefault="00957C24" w:rsidP="000445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04452C">
        <w:rPr>
          <w:rFonts w:ascii="Arial" w:hAnsi="Arial" w:cs="Arial"/>
          <w:sz w:val="22"/>
          <w:szCs w:val="22"/>
        </w:rPr>
        <w:t xml:space="preserve"> poursui</w:t>
      </w:r>
      <w:r w:rsidR="00F7603D">
        <w:rPr>
          <w:rFonts w:ascii="Arial" w:hAnsi="Arial" w:cs="Arial"/>
          <w:sz w:val="22"/>
          <w:szCs w:val="22"/>
        </w:rPr>
        <w:t>t un triple</w:t>
      </w:r>
      <w:r w:rsidR="0004452C">
        <w:rPr>
          <w:rFonts w:ascii="Arial" w:hAnsi="Arial" w:cs="Arial"/>
          <w:sz w:val="22"/>
          <w:szCs w:val="22"/>
        </w:rPr>
        <w:t xml:space="preserve"> objectif :</w:t>
      </w:r>
    </w:p>
    <w:p w:rsidR="0004452C" w:rsidRDefault="0004452C" w:rsidP="0004452C">
      <w:pPr>
        <w:jc w:val="both"/>
        <w:rPr>
          <w:rFonts w:ascii="Arial" w:hAnsi="Arial" w:cs="Arial"/>
          <w:sz w:val="22"/>
          <w:szCs w:val="22"/>
        </w:rPr>
      </w:pPr>
    </w:p>
    <w:p w:rsidR="0004452C" w:rsidRDefault="00F7603D" w:rsidP="000445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Tout d’abord</w:t>
      </w:r>
      <w:r w:rsidR="0004452C">
        <w:rPr>
          <w:rFonts w:ascii="Arial" w:hAnsi="Arial" w:cs="Arial"/>
          <w:sz w:val="22"/>
          <w:szCs w:val="22"/>
        </w:rPr>
        <w:t>, i</w:t>
      </w:r>
      <w:r w:rsidR="0004452C" w:rsidRPr="00FC69B4">
        <w:rPr>
          <w:rFonts w:ascii="Arial" w:hAnsi="Arial" w:cs="Arial"/>
          <w:sz w:val="22"/>
          <w:szCs w:val="22"/>
        </w:rPr>
        <w:t xml:space="preserve">l s’agit d’apporter à la législation existante les dérogations en vue de la création ultérieure de la spécialité du </w:t>
      </w:r>
      <w:r w:rsidR="0004452C" w:rsidRPr="0004452C">
        <w:rPr>
          <w:rFonts w:ascii="Arial" w:hAnsi="Arial" w:cs="Arial"/>
          <w:sz w:val="22"/>
          <w:szCs w:val="22"/>
        </w:rPr>
        <w:t xml:space="preserve">brevet de technicien supérieur (BTS) d’assistant technique médical </w:t>
      </w:r>
      <w:r w:rsidR="00440E15">
        <w:rPr>
          <w:rFonts w:ascii="Arial" w:hAnsi="Arial" w:cs="Arial"/>
          <w:sz w:val="22"/>
          <w:szCs w:val="22"/>
        </w:rPr>
        <w:t xml:space="preserve">spécialisé </w:t>
      </w:r>
      <w:r w:rsidR="0004452C" w:rsidRPr="0004452C">
        <w:rPr>
          <w:rFonts w:ascii="Arial" w:hAnsi="Arial" w:cs="Arial"/>
          <w:sz w:val="22"/>
          <w:szCs w:val="22"/>
        </w:rPr>
        <w:t>de radiologie</w:t>
      </w:r>
      <w:r w:rsidR="0004452C" w:rsidRPr="00FC69B4">
        <w:rPr>
          <w:rFonts w:ascii="Arial" w:hAnsi="Arial" w:cs="Arial"/>
          <w:sz w:val="22"/>
          <w:szCs w:val="22"/>
        </w:rPr>
        <w:t xml:space="preserve"> par arrêté du ministre ayant l’Enseignement supérieur dans ses attributions, conformément à l’article 4, alinéa 2, de </w:t>
      </w:r>
      <w:r w:rsidR="0004452C">
        <w:rPr>
          <w:rFonts w:ascii="Arial" w:hAnsi="Arial" w:cs="Arial"/>
          <w:sz w:val="22"/>
          <w:szCs w:val="22"/>
        </w:rPr>
        <w:t xml:space="preserve">la loi </w:t>
      </w:r>
      <w:r w:rsidR="00440E15">
        <w:rPr>
          <w:rFonts w:ascii="Arial" w:hAnsi="Arial" w:cs="Arial"/>
          <w:sz w:val="22"/>
          <w:szCs w:val="22"/>
        </w:rPr>
        <w:t xml:space="preserve">modifiée précitée </w:t>
      </w:r>
      <w:r w:rsidR="0004452C">
        <w:rPr>
          <w:rFonts w:ascii="Arial" w:hAnsi="Arial" w:cs="Arial"/>
          <w:sz w:val="22"/>
          <w:szCs w:val="22"/>
        </w:rPr>
        <w:t>de 2009</w:t>
      </w:r>
      <w:r w:rsidR="0004452C" w:rsidRPr="00FC69B4">
        <w:rPr>
          <w:rFonts w:ascii="Arial" w:hAnsi="Arial" w:cs="Arial"/>
          <w:sz w:val="22"/>
          <w:szCs w:val="22"/>
        </w:rPr>
        <w:t>, et de permettre de doter, au vu de la technicité de la profession, cette formation d’un volume de 180 crédits ECTS.</w:t>
      </w:r>
    </w:p>
    <w:p w:rsidR="0004452C" w:rsidRDefault="0004452C" w:rsidP="0004452C">
      <w:pPr>
        <w:jc w:val="both"/>
        <w:rPr>
          <w:rFonts w:ascii="Arial" w:hAnsi="Arial" w:cs="Arial"/>
          <w:sz w:val="22"/>
          <w:szCs w:val="22"/>
        </w:rPr>
      </w:pPr>
    </w:p>
    <w:p w:rsidR="0004452C" w:rsidRDefault="0004452C" w:rsidP="000445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Rappelons dans ce contexte que la loi précitée de 2009 a été déjà modifiée par </w:t>
      </w:r>
      <w:r>
        <w:rPr>
          <w:rFonts w:ascii="Arial" w:hAnsi="Arial" w:cs="Arial"/>
          <w:sz w:val="22"/>
          <w:szCs w:val="22"/>
          <w:lang w:val="fr-LU"/>
        </w:rPr>
        <w:t xml:space="preserve">la loi du 26 juillet 2010 portant organisation de la formation à la profession réglementée de l’infirmier responsable de soins généraux et de la formation de sage-femme et portant reconnaissance des titres de certaines professions réglementées. </w:t>
      </w:r>
      <w:r w:rsidRPr="00375F36">
        <w:rPr>
          <w:rFonts w:ascii="Arial" w:hAnsi="Arial" w:cs="Arial"/>
          <w:sz w:val="22"/>
          <w:szCs w:val="22"/>
        </w:rPr>
        <w:t>Conformément aux dispositions de cette loi modifiée, l’architecture des formations aux professions de santé est la suivante :</w:t>
      </w:r>
    </w:p>
    <w:p w:rsidR="00982F0D" w:rsidRPr="00375F36" w:rsidRDefault="00982F0D" w:rsidP="0004452C">
      <w:pPr>
        <w:jc w:val="both"/>
        <w:rPr>
          <w:rFonts w:ascii="Arial" w:hAnsi="Arial" w:cs="Arial"/>
          <w:sz w:val="22"/>
          <w:szCs w:val="22"/>
        </w:rPr>
      </w:pPr>
    </w:p>
    <w:p w:rsidR="0004452C" w:rsidRDefault="0004452C" w:rsidP="000445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5F36">
        <w:rPr>
          <w:rFonts w:ascii="Arial" w:hAnsi="Arial" w:cs="Arial"/>
          <w:sz w:val="22"/>
          <w:szCs w:val="22"/>
        </w:rPr>
        <w:t>l’infirmier responsable de soins généraux suit une formation de quatre ans menant à l’obtention d’u</w:t>
      </w:r>
      <w:r>
        <w:rPr>
          <w:rFonts w:ascii="Arial" w:hAnsi="Arial" w:cs="Arial"/>
          <w:sz w:val="22"/>
          <w:szCs w:val="22"/>
        </w:rPr>
        <w:t>n BTS</w:t>
      </w:r>
      <w:r w:rsidRPr="00375F36">
        <w:rPr>
          <w:rFonts w:ascii="Arial" w:hAnsi="Arial" w:cs="Arial"/>
          <w:sz w:val="22"/>
          <w:szCs w:val="22"/>
        </w:rPr>
        <w:t xml:space="preserve"> avec l’obligation d’obtenir un diplôme de fin d’études secondaires techniques en classe de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375F36">
        <w:rPr>
          <w:rFonts w:ascii="Arial" w:hAnsi="Arial" w:cs="Arial"/>
          <w:sz w:val="22"/>
          <w:szCs w:val="22"/>
        </w:rPr>
        <w:t xml:space="preserve"> de l’enseignement secondaire technique ;</w:t>
      </w:r>
    </w:p>
    <w:p w:rsidR="009B286F" w:rsidRPr="00375F36" w:rsidRDefault="009B286F" w:rsidP="009B286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4452C" w:rsidRDefault="0004452C" w:rsidP="000445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5F36">
        <w:rPr>
          <w:rFonts w:ascii="Arial" w:hAnsi="Arial" w:cs="Arial"/>
          <w:sz w:val="22"/>
          <w:szCs w:val="22"/>
        </w:rPr>
        <w:t>l’infirmier spécialisé suit une formation avec un volume de 120 crédits ECTS menant à l’obtention d’u</w:t>
      </w:r>
      <w:r>
        <w:rPr>
          <w:rFonts w:ascii="Arial" w:hAnsi="Arial" w:cs="Arial"/>
          <w:sz w:val="22"/>
          <w:szCs w:val="22"/>
        </w:rPr>
        <w:t>n BTS</w:t>
      </w:r>
      <w:r w:rsidRPr="00375F36">
        <w:rPr>
          <w:rFonts w:ascii="Arial" w:hAnsi="Arial" w:cs="Arial"/>
          <w:sz w:val="22"/>
          <w:szCs w:val="22"/>
        </w:rPr>
        <w:t xml:space="preserve"> spécialisé, l’accès à la formation étant subordonné à l’obtention préalable d’u</w:t>
      </w:r>
      <w:r>
        <w:rPr>
          <w:rFonts w:ascii="Arial" w:hAnsi="Arial" w:cs="Arial"/>
          <w:sz w:val="22"/>
          <w:szCs w:val="22"/>
        </w:rPr>
        <w:t>n BTS</w:t>
      </w:r>
      <w:r w:rsidRPr="00375F36">
        <w:rPr>
          <w:rFonts w:ascii="Arial" w:hAnsi="Arial" w:cs="Arial"/>
          <w:sz w:val="22"/>
          <w:szCs w:val="22"/>
        </w:rPr>
        <w:t xml:space="preserve"> « spécialité infirmier responsable de soins généraux » ;</w:t>
      </w:r>
    </w:p>
    <w:p w:rsidR="009B286F" w:rsidRPr="00375F36" w:rsidRDefault="009B286F" w:rsidP="009B286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4452C" w:rsidRPr="00375F36" w:rsidRDefault="0004452C" w:rsidP="000445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5F36">
        <w:rPr>
          <w:rFonts w:ascii="Arial" w:hAnsi="Arial" w:cs="Arial"/>
          <w:sz w:val="22"/>
          <w:szCs w:val="22"/>
        </w:rPr>
        <w:t>la sage</w:t>
      </w:r>
      <w:r>
        <w:rPr>
          <w:rFonts w:ascii="Arial" w:hAnsi="Arial" w:cs="Arial"/>
          <w:sz w:val="22"/>
          <w:szCs w:val="22"/>
        </w:rPr>
        <w:t>-</w:t>
      </w:r>
      <w:r w:rsidRPr="00375F36">
        <w:rPr>
          <w:rFonts w:ascii="Arial" w:hAnsi="Arial" w:cs="Arial"/>
          <w:sz w:val="22"/>
          <w:szCs w:val="22"/>
        </w:rPr>
        <w:t>femme suit une formation avec un volume de 180 crédits ECTS menant à l’obtention d’u</w:t>
      </w:r>
      <w:r>
        <w:rPr>
          <w:rFonts w:ascii="Arial" w:hAnsi="Arial" w:cs="Arial"/>
          <w:sz w:val="22"/>
          <w:szCs w:val="22"/>
        </w:rPr>
        <w:t>n BTS</w:t>
      </w:r>
      <w:r w:rsidRPr="00375F36">
        <w:rPr>
          <w:rFonts w:ascii="Arial" w:hAnsi="Arial" w:cs="Arial"/>
          <w:sz w:val="22"/>
          <w:szCs w:val="22"/>
        </w:rPr>
        <w:t xml:space="preserve"> spécialisé, l’accès à la formation étant subordonné à un diplôme de fin d’études secondaires ou de fin d’études secondaires techniques.</w:t>
      </w:r>
    </w:p>
    <w:p w:rsidR="0004452C" w:rsidRDefault="0004452C" w:rsidP="0004452C">
      <w:pPr>
        <w:jc w:val="both"/>
        <w:rPr>
          <w:rFonts w:ascii="Arial" w:hAnsi="Arial" w:cs="Arial"/>
          <w:sz w:val="22"/>
          <w:szCs w:val="22"/>
        </w:rPr>
      </w:pPr>
    </w:p>
    <w:p w:rsidR="0004452C" w:rsidRDefault="0004452C" w:rsidP="0004452C">
      <w:pPr>
        <w:jc w:val="both"/>
        <w:rPr>
          <w:rFonts w:ascii="Calibri" w:hAnsi="Calibri"/>
        </w:rPr>
      </w:pPr>
      <w:r w:rsidRPr="00375F36">
        <w:rPr>
          <w:rFonts w:ascii="Arial" w:hAnsi="Arial" w:cs="Arial"/>
          <w:sz w:val="22"/>
          <w:szCs w:val="22"/>
        </w:rPr>
        <w:t xml:space="preserve">Le besoin s’est fait ressentir de faire </w:t>
      </w:r>
      <w:r>
        <w:rPr>
          <w:rFonts w:ascii="Arial" w:hAnsi="Arial" w:cs="Arial"/>
          <w:sz w:val="22"/>
          <w:szCs w:val="22"/>
        </w:rPr>
        <w:t>également</w:t>
      </w:r>
      <w:r w:rsidRPr="00375F36">
        <w:rPr>
          <w:rFonts w:ascii="Arial" w:hAnsi="Arial" w:cs="Arial"/>
          <w:sz w:val="22"/>
          <w:szCs w:val="22"/>
        </w:rPr>
        <w:t xml:space="preserve"> de la formation de l’assistant technique médical de radiologie une formation de l’enseignement supérieur. En effet, l’exercice de la profession est devenu plus complexe au fil des années </w:t>
      </w:r>
      <w:r>
        <w:rPr>
          <w:rFonts w:ascii="Arial" w:hAnsi="Arial" w:cs="Arial"/>
          <w:sz w:val="22"/>
          <w:szCs w:val="22"/>
        </w:rPr>
        <w:t>et nécessite désormais</w:t>
      </w:r>
      <w:r w:rsidRPr="00375F36">
        <w:rPr>
          <w:rFonts w:ascii="Arial" w:hAnsi="Arial" w:cs="Arial"/>
          <w:sz w:val="22"/>
          <w:szCs w:val="22"/>
        </w:rPr>
        <w:t xml:space="preserve"> des connaissances et des savoir-faire plus développés.</w:t>
      </w:r>
      <w:r w:rsidRPr="00375F36">
        <w:rPr>
          <w:rFonts w:ascii="Calibri" w:hAnsi="Calibri"/>
        </w:rPr>
        <w:t xml:space="preserve"> </w:t>
      </w:r>
    </w:p>
    <w:p w:rsidR="00982F0D" w:rsidRDefault="00982F0D" w:rsidP="0004452C">
      <w:pPr>
        <w:jc w:val="both"/>
        <w:rPr>
          <w:rFonts w:ascii="Arial" w:hAnsi="Arial" w:cs="Arial"/>
          <w:sz w:val="22"/>
          <w:szCs w:val="22"/>
        </w:rPr>
      </w:pPr>
    </w:p>
    <w:p w:rsidR="0004452C" w:rsidRDefault="0004452C" w:rsidP="0004452C">
      <w:pPr>
        <w:jc w:val="both"/>
        <w:rPr>
          <w:rFonts w:ascii="Arial" w:hAnsi="Arial" w:cs="Arial"/>
          <w:sz w:val="22"/>
          <w:szCs w:val="22"/>
        </w:rPr>
      </w:pPr>
      <w:r w:rsidRPr="00375F36">
        <w:rPr>
          <w:rFonts w:ascii="Arial" w:hAnsi="Arial" w:cs="Arial"/>
          <w:sz w:val="22"/>
          <w:szCs w:val="22"/>
        </w:rPr>
        <w:t xml:space="preserve">L’accès à la formation est subordonné à l’obtention préalable d’un diplôme de fin d’études secondaires ou secondaires techniques ; il s’agit donc d’un accès généralisé indépendant de la nécessité pour le candidat d’être détenteur d’un diplôme d’infirmier et de jouir de l’autorisation d’exercer la profession d’infirmier. </w:t>
      </w:r>
    </w:p>
    <w:p w:rsidR="00F7603D" w:rsidRDefault="00F7603D" w:rsidP="0004452C">
      <w:pPr>
        <w:jc w:val="both"/>
        <w:rPr>
          <w:rFonts w:ascii="Arial" w:hAnsi="Arial" w:cs="Arial"/>
          <w:sz w:val="22"/>
          <w:szCs w:val="22"/>
        </w:rPr>
      </w:pPr>
    </w:p>
    <w:p w:rsidR="00F7603D" w:rsidRPr="00375F36" w:rsidRDefault="00F7603D" w:rsidP="000445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Ensuite, en relation avec les modalités du cycle d’études d’enseignement supérieur sanctionné par l’obtention du brevet de technicien supérieur, le projet de loi vise à conférer la base légale nécessaire aux peines académiques qui suivent le constat de la tentative de fraude, de la fraude ou du plagiat.</w:t>
      </w:r>
    </w:p>
    <w:p w:rsidR="0004452C" w:rsidRPr="000B2065" w:rsidRDefault="0004452C" w:rsidP="0004452C">
      <w:pPr>
        <w:jc w:val="both"/>
        <w:rPr>
          <w:rFonts w:ascii="Calibri" w:hAnsi="Calibri"/>
        </w:rPr>
      </w:pPr>
    </w:p>
    <w:p w:rsidR="00957C24" w:rsidRDefault="0004452C" w:rsidP="008D43C6">
      <w:pPr>
        <w:jc w:val="both"/>
        <w:rPr>
          <w:rFonts w:ascii="Arial" w:hAnsi="Arial" w:cs="Arial"/>
          <w:color w:val="000000"/>
          <w:sz w:val="22"/>
          <w:szCs w:val="22"/>
          <w:lang w:eastAsia="fr-LU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B286F" w:rsidRPr="00F2593B">
        <w:rPr>
          <w:rFonts w:ascii="Arial" w:hAnsi="Arial" w:cs="Arial"/>
          <w:sz w:val="22"/>
          <w:szCs w:val="22"/>
        </w:rPr>
        <w:t xml:space="preserve">Enfin, en relation avec la procédure d’accréditation des institutions d’enseignement supérieur et des formations d’enseignement supérieur qui sont susceptibles d’être implantées sur le territoire du </w:t>
      </w:r>
      <w:proofErr w:type="spellStart"/>
      <w:r w:rsidR="009B286F" w:rsidRPr="00F2593B">
        <w:rPr>
          <w:rFonts w:ascii="Arial" w:hAnsi="Arial" w:cs="Arial"/>
          <w:sz w:val="22"/>
          <w:szCs w:val="22"/>
        </w:rPr>
        <w:t>Grand-Duché</w:t>
      </w:r>
      <w:proofErr w:type="spellEnd"/>
      <w:r w:rsidR="009B286F" w:rsidRPr="00F2593B">
        <w:rPr>
          <w:rFonts w:ascii="Arial" w:hAnsi="Arial" w:cs="Arial"/>
          <w:sz w:val="22"/>
          <w:szCs w:val="22"/>
        </w:rPr>
        <w:t xml:space="preserve"> de Luxembourg, le projet de loi vise à préciser la </w:t>
      </w:r>
      <w:r w:rsidR="009B286F" w:rsidRPr="00F2593B">
        <w:rPr>
          <w:rFonts w:ascii="Arial" w:hAnsi="Arial" w:cs="Arial"/>
          <w:sz w:val="22"/>
          <w:szCs w:val="22"/>
        </w:rPr>
        <w:lastRenderedPageBreak/>
        <w:t>nomenclature permettant d’identifier les différentes catégories d’établissements.</w:t>
      </w:r>
      <w:r w:rsidR="009B286F">
        <w:rPr>
          <w:rFonts w:ascii="Arial" w:hAnsi="Arial" w:cs="Arial"/>
          <w:sz w:val="22"/>
          <w:szCs w:val="22"/>
        </w:rPr>
        <w:t xml:space="preserve"> </w:t>
      </w:r>
      <w:r w:rsidR="008D43C6" w:rsidRPr="008D43C6">
        <w:rPr>
          <w:rFonts w:ascii="Arial" w:hAnsi="Arial" w:cs="Arial"/>
          <w:color w:val="000000"/>
          <w:sz w:val="22"/>
          <w:szCs w:val="22"/>
          <w:lang w:eastAsia="fr-LU"/>
        </w:rPr>
        <w:t>Deux catégories sont proposées dans le cadre de la loi modificat</w:t>
      </w:r>
      <w:r w:rsidR="00957C24">
        <w:rPr>
          <w:rFonts w:ascii="Arial" w:hAnsi="Arial" w:cs="Arial"/>
          <w:color w:val="000000"/>
          <w:sz w:val="22"/>
          <w:szCs w:val="22"/>
          <w:lang w:eastAsia="fr-LU"/>
        </w:rPr>
        <w:t>ive, à savoir :</w:t>
      </w:r>
    </w:p>
    <w:p w:rsidR="00982F0D" w:rsidRDefault="00982F0D" w:rsidP="008D43C6">
      <w:pPr>
        <w:jc w:val="both"/>
        <w:rPr>
          <w:rFonts w:ascii="Arial" w:hAnsi="Arial" w:cs="Arial"/>
          <w:color w:val="000000"/>
          <w:sz w:val="22"/>
          <w:szCs w:val="22"/>
          <w:lang w:eastAsia="fr-LU"/>
        </w:rPr>
      </w:pPr>
    </w:p>
    <w:p w:rsidR="00957C24" w:rsidRPr="009B286F" w:rsidRDefault="008D43C6" w:rsidP="00957C2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fr-LU"/>
        </w:rPr>
        <w:t>la catégorie « université »</w:t>
      </w:r>
      <w:r w:rsidRPr="008D43C6">
        <w:rPr>
          <w:rFonts w:ascii="Arial" w:hAnsi="Arial" w:cs="Arial"/>
          <w:color w:val="000000"/>
          <w:sz w:val="22"/>
          <w:szCs w:val="22"/>
          <w:lang w:eastAsia="fr-LU"/>
        </w:rPr>
        <w:t xml:space="preserve"> avec ses</w:t>
      </w:r>
      <w:r w:rsidR="00982F0D">
        <w:rPr>
          <w:rFonts w:ascii="Arial" w:hAnsi="Arial" w:cs="Arial"/>
          <w:color w:val="000000"/>
          <w:sz w:val="22"/>
          <w:szCs w:val="22"/>
          <w:lang w:eastAsia="fr-LU"/>
        </w:rPr>
        <w:t xml:space="preserve"> deux missions fondamentales qui</w:t>
      </w:r>
      <w:r w:rsidRPr="008D43C6">
        <w:rPr>
          <w:rFonts w:ascii="Arial" w:hAnsi="Arial" w:cs="Arial"/>
          <w:color w:val="000000"/>
          <w:sz w:val="22"/>
          <w:szCs w:val="22"/>
          <w:lang w:eastAsia="fr-LU"/>
        </w:rPr>
        <w:t xml:space="preserve"> sont la recherche et la formation scie</w:t>
      </w:r>
      <w:r w:rsidR="00957C24">
        <w:rPr>
          <w:rFonts w:ascii="Arial" w:hAnsi="Arial" w:cs="Arial"/>
          <w:color w:val="000000"/>
          <w:sz w:val="22"/>
          <w:szCs w:val="22"/>
          <w:lang w:eastAsia="fr-LU"/>
        </w:rPr>
        <w:t>ntifique ou professionnelle ;</w:t>
      </w:r>
    </w:p>
    <w:p w:rsidR="009B286F" w:rsidRPr="00957C24" w:rsidRDefault="009B286F" w:rsidP="009B286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4452C" w:rsidRPr="00982F0D" w:rsidRDefault="008D43C6" w:rsidP="00957C2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fr-LU"/>
        </w:rPr>
        <w:t>la catégorie « </w:t>
      </w:r>
      <w:r w:rsidRPr="008D43C6">
        <w:rPr>
          <w:rFonts w:ascii="Arial" w:hAnsi="Arial" w:cs="Arial"/>
          <w:color w:val="000000"/>
          <w:sz w:val="22"/>
          <w:szCs w:val="22"/>
          <w:lang w:eastAsia="fr-LU"/>
        </w:rPr>
        <w:t>établissement d'en</w:t>
      </w:r>
      <w:r>
        <w:rPr>
          <w:rFonts w:ascii="Arial" w:hAnsi="Arial" w:cs="Arial"/>
          <w:color w:val="000000"/>
          <w:sz w:val="22"/>
          <w:szCs w:val="22"/>
          <w:lang w:eastAsia="fr-LU"/>
        </w:rPr>
        <w:t>seignement supérieur spécialisé »</w:t>
      </w:r>
      <w:r w:rsidRPr="008D43C6">
        <w:rPr>
          <w:rFonts w:ascii="Arial" w:hAnsi="Arial" w:cs="Arial"/>
          <w:color w:val="000000"/>
          <w:sz w:val="22"/>
          <w:szCs w:val="22"/>
          <w:lang w:eastAsia="fr-LU"/>
        </w:rPr>
        <w:t xml:space="preserve"> qui offre des formations de niveau universitaire axées sur la pratique et permettant une entrée rapide sur le marché du travail.</w:t>
      </w:r>
    </w:p>
    <w:p w:rsidR="00982F0D" w:rsidRPr="008D43C6" w:rsidRDefault="00982F0D" w:rsidP="00982F0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4452C" w:rsidRDefault="0004452C" w:rsidP="000445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projet de loi introduit </w:t>
      </w:r>
      <w:r w:rsidRPr="008D43C6">
        <w:rPr>
          <w:rFonts w:ascii="Arial" w:hAnsi="Arial" w:cs="Arial"/>
          <w:sz w:val="22"/>
          <w:szCs w:val="22"/>
        </w:rPr>
        <w:t>deux critères</w:t>
      </w:r>
      <w:r w:rsidRPr="00A06841">
        <w:rPr>
          <w:rFonts w:ascii="Arial" w:hAnsi="Arial" w:cs="Arial"/>
          <w:sz w:val="22"/>
          <w:szCs w:val="22"/>
        </w:rPr>
        <w:t xml:space="preserve"> majeurs selon lesquels les établissements demandant l’accréditation peuvent postuler pour l’une</w:t>
      </w:r>
      <w:r>
        <w:rPr>
          <w:rFonts w:ascii="Arial" w:hAnsi="Arial" w:cs="Arial"/>
          <w:sz w:val="22"/>
          <w:szCs w:val="22"/>
        </w:rPr>
        <w:t xml:space="preserve"> ou pour l’autre des catégories susmentionnées. </w:t>
      </w:r>
      <w:r w:rsidRPr="00A06841">
        <w:rPr>
          <w:rFonts w:ascii="Arial" w:hAnsi="Arial" w:cs="Arial"/>
          <w:sz w:val="22"/>
          <w:szCs w:val="22"/>
        </w:rPr>
        <w:t>Il s’agit</w:t>
      </w:r>
      <w:r>
        <w:rPr>
          <w:rFonts w:ascii="Arial" w:hAnsi="Arial" w:cs="Arial"/>
          <w:sz w:val="22"/>
          <w:szCs w:val="22"/>
        </w:rPr>
        <w:t>,</w:t>
      </w:r>
      <w:r w:rsidRPr="00A06841">
        <w:rPr>
          <w:rFonts w:ascii="Arial" w:hAnsi="Arial" w:cs="Arial"/>
          <w:sz w:val="22"/>
          <w:szCs w:val="22"/>
        </w:rPr>
        <w:t xml:space="preserve"> d’une part</w:t>
      </w:r>
      <w:r>
        <w:rPr>
          <w:rFonts w:ascii="Arial" w:hAnsi="Arial" w:cs="Arial"/>
          <w:sz w:val="22"/>
          <w:szCs w:val="22"/>
        </w:rPr>
        <w:t>,</w:t>
      </w:r>
      <w:r w:rsidRPr="00A06841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la finalité propre </w:t>
      </w:r>
      <w:r w:rsidRPr="00A06841">
        <w:rPr>
          <w:rFonts w:ascii="Arial" w:hAnsi="Arial" w:cs="Arial"/>
          <w:sz w:val="22"/>
          <w:szCs w:val="22"/>
        </w:rPr>
        <w:t>à chaque catégorie</w:t>
      </w:r>
      <w:r>
        <w:rPr>
          <w:rFonts w:ascii="Arial" w:hAnsi="Arial" w:cs="Arial"/>
          <w:sz w:val="22"/>
          <w:szCs w:val="22"/>
        </w:rPr>
        <w:t xml:space="preserve"> et, </w:t>
      </w:r>
      <w:r w:rsidRPr="00A06841">
        <w:rPr>
          <w:rFonts w:ascii="Arial" w:hAnsi="Arial" w:cs="Arial"/>
          <w:sz w:val="22"/>
          <w:szCs w:val="22"/>
        </w:rPr>
        <w:t>d’autre part</w:t>
      </w:r>
      <w:r>
        <w:rPr>
          <w:rFonts w:ascii="Arial" w:hAnsi="Arial" w:cs="Arial"/>
          <w:sz w:val="22"/>
          <w:szCs w:val="22"/>
        </w:rPr>
        <w:t>,</w:t>
      </w:r>
      <w:r w:rsidRPr="00A06841">
        <w:rPr>
          <w:rFonts w:ascii="Arial" w:hAnsi="Arial" w:cs="Arial"/>
          <w:sz w:val="22"/>
          <w:szCs w:val="22"/>
        </w:rPr>
        <w:t xml:space="preserve"> du nombre de titulaires et de leurs qualifications. </w:t>
      </w:r>
    </w:p>
    <w:p w:rsidR="00982F0D" w:rsidRDefault="00982F0D" w:rsidP="0004452C">
      <w:pPr>
        <w:jc w:val="both"/>
        <w:rPr>
          <w:rFonts w:ascii="Arial" w:hAnsi="Arial" w:cs="Arial"/>
          <w:sz w:val="22"/>
          <w:szCs w:val="22"/>
        </w:rPr>
      </w:pPr>
    </w:p>
    <w:p w:rsidR="00957C24" w:rsidRDefault="00957C24" w:rsidP="0004452C">
      <w:pPr>
        <w:jc w:val="both"/>
        <w:rPr>
          <w:rFonts w:ascii="Arial" w:hAnsi="Arial" w:cs="Arial"/>
          <w:sz w:val="22"/>
          <w:szCs w:val="22"/>
        </w:rPr>
      </w:pPr>
    </w:p>
    <w:p w:rsidR="0004452C" w:rsidRPr="0004452C" w:rsidRDefault="0004452C" w:rsidP="005056D9">
      <w:pPr>
        <w:jc w:val="both"/>
        <w:rPr>
          <w:rFonts w:ascii="Arial" w:hAnsi="Arial" w:cs="Arial"/>
          <w:sz w:val="22"/>
          <w:szCs w:val="22"/>
        </w:rPr>
      </w:pPr>
    </w:p>
    <w:p w:rsidR="004C7A4A" w:rsidRPr="005056D9" w:rsidRDefault="004C7A4A">
      <w:pPr>
        <w:rPr>
          <w:lang w:val="fr-LU"/>
        </w:rPr>
      </w:pPr>
    </w:p>
    <w:sectPr w:rsidR="004C7A4A" w:rsidRPr="005056D9" w:rsidSect="004C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2C"/>
    <w:multiLevelType w:val="hybridMultilevel"/>
    <w:tmpl w:val="CAE2D7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15A9"/>
    <w:multiLevelType w:val="hybridMultilevel"/>
    <w:tmpl w:val="76447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34A70"/>
    <w:multiLevelType w:val="hybridMultilevel"/>
    <w:tmpl w:val="F8AEB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6D9"/>
    <w:rsid w:val="00015475"/>
    <w:rsid w:val="0004452C"/>
    <w:rsid w:val="00166687"/>
    <w:rsid w:val="002E68FD"/>
    <w:rsid w:val="00440E15"/>
    <w:rsid w:val="0046081F"/>
    <w:rsid w:val="004C7A4A"/>
    <w:rsid w:val="005056D9"/>
    <w:rsid w:val="008D43C6"/>
    <w:rsid w:val="00957C24"/>
    <w:rsid w:val="00982F0D"/>
    <w:rsid w:val="009B286F"/>
    <w:rsid w:val="00F7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DC0CF2-15DE-4FAC-9629-E2E7D08B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D9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56D9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DP6371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6371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/sftpecos/Dossiers_parlementaires/6371/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B1A3C7E-291E-48FC-9C51-3761653BE5B2}"/>
</file>

<file path=customXml/itemProps2.xml><?xml version="1.0" encoding="utf-8"?>
<ds:datastoreItem xmlns:ds="http://schemas.openxmlformats.org/officeDocument/2006/customXml" ds:itemID="{C7CF0947-73E5-43D8-BB43-15846E936A17}"/>
</file>

<file path=customXml/itemProps3.xml><?xml version="1.0" encoding="utf-8"?>
<ds:datastoreItem xmlns:ds="http://schemas.openxmlformats.org/officeDocument/2006/customXml" ds:itemID="{BCD80AA1-B96E-49DA-9B14-9DE75A362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Christiane Huberty</dc:creator>
  <cp:keywords/>
  <cp:lastModifiedBy>SYSTEM</cp:lastModifiedBy>
  <cp:revision>2</cp:revision>
  <cp:lastPrinted>2012-09-20T07:38:00Z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