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7" w:rsidRPr="00E27621" w:rsidRDefault="00F26947" w:rsidP="00E27621">
      <w:pPr>
        <w:autoSpaceDE w:val="0"/>
        <w:autoSpaceDN w:val="0"/>
        <w:adjustRightInd w:val="0"/>
        <w:jc w:val="both"/>
      </w:pPr>
      <w:bookmarkStart w:id="0" w:name="_GoBack"/>
      <w:bookmarkEnd w:id="0"/>
      <w:r w:rsidRPr="00E27621">
        <w:rPr>
          <w:b/>
        </w:rPr>
        <w:t xml:space="preserve">N° </w:t>
      </w:r>
      <w:r w:rsidR="008F11B6" w:rsidRPr="00E27621">
        <w:rPr>
          <w:b/>
        </w:rPr>
        <w:t>6</w:t>
      </w:r>
      <w:r w:rsidR="00E93812">
        <w:rPr>
          <w:b/>
        </w:rPr>
        <w:t>29</w:t>
      </w:r>
      <w:r w:rsidR="00C74CFB" w:rsidRPr="00E27621">
        <w:rPr>
          <w:b/>
        </w:rPr>
        <w:t>3</w:t>
      </w:r>
      <w:r w:rsidRPr="00E27621">
        <w:rPr>
          <w:b/>
        </w:rPr>
        <w:t xml:space="preserve"> </w:t>
      </w:r>
      <w:r w:rsidRPr="00E27621">
        <w:rPr>
          <w:b/>
          <w:bCs/>
        </w:rPr>
        <w:t>Projet de loi portant règlement du compte général de l’exercice 20</w:t>
      </w:r>
      <w:r w:rsidR="00E93812">
        <w:rPr>
          <w:b/>
          <w:bCs/>
        </w:rPr>
        <w:t>10</w:t>
      </w:r>
      <w:r w:rsidRPr="00E27621">
        <w:rPr>
          <w:b/>
          <w:bCs/>
        </w:rPr>
        <w:t xml:space="preserve"> </w:t>
      </w:r>
    </w:p>
    <w:p w:rsidR="00F94815" w:rsidRDefault="00F94815" w:rsidP="00F94815">
      <w:pPr>
        <w:autoSpaceDE w:val="0"/>
        <w:autoSpaceDN w:val="0"/>
        <w:adjustRightInd w:val="0"/>
        <w:jc w:val="both"/>
        <w:rPr>
          <w:color w:val="C00000"/>
          <w:lang w:val="fr-LU" w:eastAsia="fr-LU"/>
        </w:rPr>
      </w:pPr>
    </w:p>
    <w:p w:rsidR="00EF257C" w:rsidRPr="00EF257C" w:rsidRDefault="00EF257C" w:rsidP="00EF257C">
      <w:pPr>
        <w:autoSpaceDE w:val="0"/>
        <w:autoSpaceDN w:val="0"/>
        <w:adjustRightInd w:val="0"/>
        <w:jc w:val="both"/>
        <w:rPr>
          <w:color w:val="FF3399"/>
        </w:rPr>
      </w:pPr>
    </w:p>
    <w:p w:rsidR="00EF257C" w:rsidRPr="00BE4F8B" w:rsidRDefault="00EF257C" w:rsidP="00EF257C">
      <w:pPr>
        <w:autoSpaceDE w:val="0"/>
        <w:autoSpaceDN w:val="0"/>
        <w:adjustRightInd w:val="0"/>
        <w:jc w:val="both"/>
      </w:pPr>
      <w:r w:rsidRPr="00BE4F8B">
        <w:t>Par rapport au budget définitif de l'exercice 20</w:t>
      </w:r>
      <w:r w:rsidR="00E93812">
        <w:t>10</w:t>
      </w:r>
      <w:r w:rsidRPr="00BE4F8B">
        <w:t xml:space="preserve">, les </w:t>
      </w:r>
      <w:r w:rsidRPr="00BE4F8B">
        <w:rPr>
          <w:b/>
          <w:u w:val="single"/>
        </w:rPr>
        <w:t>variations</w:t>
      </w:r>
      <w:r w:rsidRPr="00E27621">
        <w:t xml:space="preserve"> </w:t>
      </w:r>
      <w:r w:rsidRPr="00BE4F8B">
        <w:t xml:space="preserve">sont les suivantes : </w:t>
      </w:r>
    </w:p>
    <w:p w:rsidR="00E93812" w:rsidRDefault="00E93812" w:rsidP="0075061C">
      <w:pPr>
        <w:autoSpaceDE w:val="0"/>
        <w:autoSpaceDN w:val="0"/>
        <w:adjustRightInd w:val="0"/>
        <w:jc w:val="both"/>
      </w:pPr>
    </w:p>
    <w:p w:rsidR="00E93812" w:rsidRDefault="00E93812" w:rsidP="00E93812">
      <w:pPr>
        <w:autoSpaceDE w:val="0"/>
        <w:autoSpaceDN w:val="0"/>
        <w:adjustRightInd w:val="0"/>
        <w:jc w:val="both"/>
        <w:rPr>
          <w:color w:val="0070C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0"/>
        <w:gridCol w:w="1815"/>
        <w:gridCol w:w="1843"/>
        <w:gridCol w:w="1842"/>
        <w:gridCol w:w="1134"/>
      </w:tblGrid>
      <w:tr w:rsidR="00E93812" w:rsidRPr="006369E0" w:rsidTr="00E93812">
        <w:tblPrEx>
          <w:tblCellMar>
            <w:top w:w="0" w:type="dxa"/>
            <w:bottom w:w="0" w:type="dxa"/>
          </w:tblCellMar>
        </w:tblPrEx>
        <w:trPr>
          <w:cantSplit/>
          <w:trHeight w:val="312"/>
        </w:trPr>
        <w:tc>
          <w:tcPr>
            <w:tcW w:w="2088" w:type="dxa"/>
            <w:vMerge w:val="restart"/>
          </w:tcPr>
          <w:p w:rsidR="00E93812" w:rsidRPr="006369E0" w:rsidRDefault="00E93812" w:rsidP="007B1DD1">
            <w:pPr>
              <w:tabs>
                <w:tab w:val="left" w:pos="1800"/>
              </w:tabs>
              <w:rPr>
                <w:rFonts w:ascii="Arial" w:hAnsi="Arial"/>
                <w:sz w:val="18"/>
                <w:szCs w:val="18"/>
              </w:rPr>
            </w:pPr>
          </w:p>
        </w:tc>
        <w:tc>
          <w:tcPr>
            <w:tcW w:w="1985" w:type="dxa"/>
            <w:gridSpan w:val="2"/>
            <w:vMerge w:val="restart"/>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Budget définitif</w:t>
            </w: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2010</w:t>
            </w:r>
          </w:p>
        </w:tc>
        <w:tc>
          <w:tcPr>
            <w:tcW w:w="1843" w:type="dxa"/>
            <w:vMerge w:val="restart"/>
          </w:tcPr>
          <w:p w:rsidR="00E93812" w:rsidRPr="006369E0" w:rsidRDefault="00E93812" w:rsidP="007B1DD1">
            <w:pPr>
              <w:tabs>
                <w:tab w:val="left" w:pos="1800"/>
              </w:tabs>
              <w:ind w:left="-41" w:firstLine="49"/>
              <w:rPr>
                <w:rFonts w:ascii="Arial" w:hAnsi="Arial"/>
                <w:sz w:val="18"/>
                <w:szCs w:val="18"/>
              </w:rPr>
            </w:pPr>
          </w:p>
          <w:p w:rsidR="00E93812" w:rsidRPr="006369E0" w:rsidRDefault="00E93812" w:rsidP="007B1DD1">
            <w:pPr>
              <w:tabs>
                <w:tab w:val="left" w:pos="1800"/>
              </w:tabs>
              <w:ind w:left="-41" w:firstLine="49"/>
              <w:jc w:val="center"/>
              <w:rPr>
                <w:rFonts w:ascii="Arial" w:hAnsi="Arial"/>
                <w:sz w:val="18"/>
                <w:szCs w:val="18"/>
              </w:rPr>
            </w:pPr>
            <w:r w:rsidRPr="006369E0">
              <w:rPr>
                <w:rFonts w:ascii="Arial" w:hAnsi="Arial"/>
                <w:sz w:val="18"/>
                <w:szCs w:val="18"/>
              </w:rPr>
              <w:t>Compte général</w:t>
            </w:r>
          </w:p>
          <w:p w:rsidR="00E93812" w:rsidRPr="006369E0" w:rsidRDefault="00E93812" w:rsidP="007B1DD1">
            <w:pPr>
              <w:tabs>
                <w:tab w:val="left" w:pos="1800"/>
              </w:tabs>
              <w:ind w:left="-41" w:firstLine="49"/>
              <w:jc w:val="center"/>
              <w:rPr>
                <w:rFonts w:ascii="Arial" w:hAnsi="Arial"/>
                <w:sz w:val="18"/>
                <w:szCs w:val="18"/>
              </w:rPr>
            </w:pPr>
            <w:r w:rsidRPr="006369E0">
              <w:rPr>
                <w:rFonts w:ascii="Arial" w:hAnsi="Arial"/>
                <w:sz w:val="18"/>
                <w:szCs w:val="18"/>
              </w:rPr>
              <w:t>2010</w:t>
            </w:r>
          </w:p>
        </w:tc>
        <w:tc>
          <w:tcPr>
            <w:tcW w:w="2976" w:type="dxa"/>
            <w:gridSpan w:val="2"/>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Variations</w:t>
            </w:r>
          </w:p>
          <w:p w:rsidR="00E93812" w:rsidRPr="006369E0" w:rsidRDefault="00E93812" w:rsidP="007B1DD1">
            <w:pPr>
              <w:tabs>
                <w:tab w:val="left" w:pos="1800"/>
              </w:tabs>
              <w:rPr>
                <w:rFonts w:ascii="Arial" w:hAnsi="Arial"/>
                <w:sz w:val="18"/>
                <w:szCs w:val="18"/>
              </w:rPr>
            </w:pPr>
          </w:p>
        </w:tc>
      </w:tr>
      <w:tr w:rsidR="00E93812" w:rsidRPr="006369E0" w:rsidTr="00E93812">
        <w:tblPrEx>
          <w:tblCellMar>
            <w:top w:w="0" w:type="dxa"/>
            <w:bottom w:w="0" w:type="dxa"/>
          </w:tblCellMar>
        </w:tblPrEx>
        <w:trPr>
          <w:cantSplit/>
          <w:trHeight w:val="231"/>
        </w:trPr>
        <w:tc>
          <w:tcPr>
            <w:tcW w:w="2088" w:type="dxa"/>
            <w:vMerge/>
            <w:tcBorders>
              <w:bottom w:val="nil"/>
            </w:tcBorders>
          </w:tcPr>
          <w:p w:rsidR="00E93812" w:rsidRPr="006369E0" w:rsidRDefault="00E93812" w:rsidP="007B1DD1">
            <w:pPr>
              <w:tabs>
                <w:tab w:val="left" w:pos="1800"/>
              </w:tabs>
              <w:rPr>
                <w:rFonts w:ascii="Arial" w:hAnsi="Arial"/>
                <w:sz w:val="18"/>
                <w:szCs w:val="18"/>
              </w:rPr>
            </w:pPr>
          </w:p>
        </w:tc>
        <w:tc>
          <w:tcPr>
            <w:tcW w:w="1985" w:type="dxa"/>
            <w:gridSpan w:val="2"/>
            <w:vMerge/>
            <w:tcBorders>
              <w:bottom w:val="nil"/>
            </w:tcBorders>
          </w:tcPr>
          <w:p w:rsidR="00E93812" w:rsidRPr="006369E0" w:rsidRDefault="00E93812" w:rsidP="007B1DD1">
            <w:pPr>
              <w:tabs>
                <w:tab w:val="left" w:pos="1800"/>
              </w:tabs>
              <w:rPr>
                <w:rFonts w:ascii="Arial" w:hAnsi="Arial"/>
                <w:sz w:val="18"/>
                <w:szCs w:val="18"/>
              </w:rPr>
            </w:pPr>
          </w:p>
        </w:tc>
        <w:tc>
          <w:tcPr>
            <w:tcW w:w="1843" w:type="dxa"/>
            <w:vMerge/>
            <w:tcBorders>
              <w:bottom w:val="nil"/>
            </w:tcBorders>
          </w:tcPr>
          <w:p w:rsidR="00E93812" w:rsidRPr="006369E0" w:rsidRDefault="00E93812" w:rsidP="007B1DD1">
            <w:pPr>
              <w:tabs>
                <w:tab w:val="left" w:pos="1800"/>
              </w:tabs>
              <w:ind w:left="-41" w:firstLine="49"/>
              <w:rPr>
                <w:rFonts w:ascii="Arial" w:hAnsi="Arial"/>
                <w:sz w:val="18"/>
                <w:szCs w:val="18"/>
              </w:rPr>
            </w:pPr>
          </w:p>
        </w:tc>
        <w:tc>
          <w:tcPr>
            <w:tcW w:w="1842" w:type="dxa"/>
            <w:tcBorders>
              <w:bottom w:val="single" w:sz="4" w:space="0" w:color="auto"/>
            </w:tcBorders>
            <w:vAlign w:val="center"/>
          </w:tcPr>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en valeur</w:t>
            </w:r>
          </w:p>
        </w:tc>
        <w:tc>
          <w:tcPr>
            <w:tcW w:w="1134" w:type="dxa"/>
            <w:tcBorders>
              <w:bottom w:val="single" w:sz="4" w:space="0" w:color="auto"/>
            </w:tcBorders>
            <w:vAlign w:val="center"/>
          </w:tcPr>
          <w:p w:rsidR="00E93812" w:rsidRPr="006369E0" w:rsidRDefault="00E93812" w:rsidP="007B1DD1">
            <w:pPr>
              <w:tabs>
                <w:tab w:val="left" w:pos="1800"/>
              </w:tabs>
              <w:ind w:left="14"/>
              <w:jc w:val="center"/>
              <w:rPr>
                <w:rFonts w:ascii="Arial" w:hAnsi="Arial"/>
                <w:sz w:val="18"/>
                <w:szCs w:val="18"/>
              </w:rPr>
            </w:pPr>
            <w:r w:rsidRPr="006369E0">
              <w:rPr>
                <w:rFonts w:ascii="Arial" w:hAnsi="Arial"/>
                <w:sz w:val="18"/>
                <w:szCs w:val="18"/>
              </w:rPr>
              <w:t>en %</w:t>
            </w:r>
          </w:p>
        </w:tc>
      </w:tr>
      <w:tr w:rsidR="00E93812" w:rsidRPr="006369E0" w:rsidTr="00E93812">
        <w:tblPrEx>
          <w:tblCellMar>
            <w:top w:w="0" w:type="dxa"/>
            <w:bottom w:w="0" w:type="dxa"/>
          </w:tblCellMar>
        </w:tblPrEx>
        <w:trPr>
          <w:cantSplit/>
          <w:trHeight w:val="1114"/>
        </w:trPr>
        <w:tc>
          <w:tcPr>
            <w:tcW w:w="2088" w:type="dxa"/>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Recettes</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courantes</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en capital</w:t>
            </w:r>
          </w:p>
        </w:tc>
        <w:tc>
          <w:tcPr>
            <w:tcW w:w="1985" w:type="dxa"/>
            <w:gridSpan w:val="2"/>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8.398.711.866,00</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1.420.132.500,00</w:t>
            </w:r>
          </w:p>
          <w:p w:rsidR="00E93812" w:rsidRPr="006369E0" w:rsidRDefault="00E93812" w:rsidP="007B1DD1">
            <w:pPr>
              <w:tabs>
                <w:tab w:val="left" w:pos="1800"/>
              </w:tabs>
              <w:rPr>
                <w:rFonts w:ascii="Arial" w:hAnsi="Arial"/>
                <w:sz w:val="18"/>
                <w:szCs w:val="18"/>
              </w:rPr>
            </w:pPr>
          </w:p>
        </w:tc>
        <w:tc>
          <w:tcPr>
            <w:tcW w:w="1843" w:type="dxa"/>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9.354.798.046,82      </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1.666.718.701,92</w:t>
            </w:r>
          </w:p>
        </w:tc>
        <w:tc>
          <w:tcPr>
            <w:tcW w:w="1842"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956.086.180,82</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246.586.201,92</w:t>
            </w:r>
          </w:p>
          <w:p w:rsidR="00E93812" w:rsidRPr="006369E0" w:rsidRDefault="00E93812" w:rsidP="007B1DD1">
            <w:pPr>
              <w:tabs>
                <w:tab w:val="left" w:pos="1800"/>
              </w:tabs>
              <w:rPr>
                <w:rFonts w:ascii="Arial" w:hAnsi="Arial"/>
                <w:sz w:val="18"/>
                <w:szCs w:val="18"/>
              </w:rPr>
            </w:pPr>
          </w:p>
        </w:tc>
        <w:tc>
          <w:tcPr>
            <w:tcW w:w="1134"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11,38</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17,36</w:t>
            </w:r>
          </w:p>
        </w:tc>
      </w:tr>
      <w:tr w:rsidR="00E93812" w:rsidRPr="006369E0" w:rsidTr="00E93812">
        <w:tblPrEx>
          <w:tblCellMar>
            <w:top w:w="0" w:type="dxa"/>
            <w:bottom w:w="0" w:type="dxa"/>
          </w:tblCellMar>
        </w:tblPrEx>
        <w:trPr>
          <w:cantSplit/>
          <w:trHeight w:val="434"/>
        </w:trPr>
        <w:tc>
          <w:tcPr>
            <w:tcW w:w="2088" w:type="dxa"/>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Total recettes (1)</w:t>
            </w:r>
          </w:p>
        </w:tc>
        <w:tc>
          <w:tcPr>
            <w:tcW w:w="1985" w:type="dxa"/>
            <w:gridSpan w:val="2"/>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9.818.844.366,00   </w:t>
            </w:r>
          </w:p>
          <w:p w:rsidR="00E93812" w:rsidRPr="006369E0" w:rsidRDefault="00E93812" w:rsidP="007B1DD1">
            <w:pPr>
              <w:tabs>
                <w:tab w:val="left" w:pos="1800"/>
              </w:tabs>
              <w:rPr>
                <w:rFonts w:ascii="Arial" w:hAnsi="Arial"/>
                <w:sz w:val="18"/>
                <w:szCs w:val="18"/>
              </w:rPr>
            </w:pPr>
          </w:p>
        </w:tc>
        <w:tc>
          <w:tcPr>
            <w:tcW w:w="1843" w:type="dxa"/>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11.021.516.748,74   </w:t>
            </w:r>
          </w:p>
        </w:tc>
        <w:tc>
          <w:tcPr>
            <w:tcW w:w="1842"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1.202.672.382,74</w:t>
            </w:r>
          </w:p>
        </w:tc>
        <w:tc>
          <w:tcPr>
            <w:tcW w:w="1134" w:type="dxa"/>
            <w:tcBorders>
              <w:bottom w:val="single" w:sz="4" w:space="0" w:color="auto"/>
            </w:tcBorders>
            <w:vAlign w:val="center"/>
          </w:tcPr>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12,25</w:t>
            </w:r>
          </w:p>
        </w:tc>
      </w:tr>
      <w:tr w:rsidR="00E93812" w:rsidRPr="006369E0" w:rsidTr="00E93812">
        <w:tblPrEx>
          <w:tblCellMar>
            <w:top w:w="0" w:type="dxa"/>
            <w:bottom w:w="0" w:type="dxa"/>
          </w:tblCellMar>
        </w:tblPrEx>
        <w:trPr>
          <w:cantSplit/>
          <w:trHeight w:val="1154"/>
        </w:trPr>
        <w:tc>
          <w:tcPr>
            <w:tcW w:w="2088"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Dépenses</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courantes</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en capital</w:t>
            </w:r>
          </w:p>
        </w:tc>
        <w:tc>
          <w:tcPr>
            <w:tcW w:w="1985" w:type="dxa"/>
            <w:gridSpan w:val="2"/>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8.850.914.097,00</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942.910.386,00</w:t>
            </w: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tc>
        <w:tc>
          <w:tcPr>
            <w:tcW w:w="1843"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8.993.280.313,94</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1.117.438.461,89</w:t>
            </w: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tc>
        <w:tc>
          <w:tcPr>
            <w:tcW w:w="1842"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142.366.216,94</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174.528.075,89</w:t>
            </w: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tc>
        <w:tc>
          <w:tcPr>
            <w:tcW w:w="1134"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1,61</w:t>
            </w:r>
          </w:p>
          <w:p w:rsidR="00E93812" w:rsidRPr="006369E0" w:rsidRDefault="00E93812" w:rsidP="007B1DD1">
            <w:pPr>
              <w:tabs>
                <w:tab w:val="left" w:pos="1800"/>
              </w:tabs>
              <w:rPr>
                <w:rFonts w:ascii="Arial" w:hAnsi="Arial"/>
                <w:sz w:val="18"/>
                <w:szCs w:val="18"/>
              </w:rPr>
            </w:pPr>
          </w:p>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18,51</w:t>
            </w:r>
          </w:p>
          <w:p w:rsidR="00E93812" w:rsidRPr="006369E0" w:rsidRDefault="00E93812" w:rsidP="007B1DD1">
            <w:pPr>
              <w:tabs>
                <w:tab w:val="left" w:pos="1800"/>
              </w:tabs>
              <w:rPr>
                <w:rFonts w:ascii="Arial" w:hAnsi="Arial"/>
                <w:sz w:val="18"/>
                <w:szCs w:val="18"/>
              </w:rPr>
            </w:pPr>
          </w:p>
        </w:tc>
      </w:tr>
      <w:tr w:rsidR="00E93812" w:rsidRPr="006369E0" w:rsidTr="00E93812">
        <w:tblPrEx>
          <w:tblCellMar>
            <w:top w:w="0" w:type="dxa"/>
            <w:bottom w:w="0" w:type="dxa"/>
          </w:tblCellMar>
        </w:tblPrEx>
        <w:trPr>
          <w:cantSplit/>
          <w:trHeight w:val="407"/>
        </w:trPr>
        <w:tc>
          <w:tcPr>
            <w:tcW w:w="2088"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Total dépenses (2)</w:t>
            </w:r>
          </w:p>
        </w:tc>
        <w:tc>
          <w:tcPr>
            <w:tcW w:w="1985" w:type="dxa"/>
            <w:gridSpan w:val="2"/>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9.793.824.483,00   </w:t>
            </w:r>
          </w:p>
        </w:tc>
        <w:tc>
          <w:tcPr>
            <w:tcW w:w="1843"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10.110.718.775,83</w:t>
            </w:r>
          </w:p>
        </w:tc>
        <w:tc>
          <w:tcPr>
            <w:tcW w:w="1842" w:type="dxa"/>
            <w:tcBorders>
              <w:bottom w:val="single" w:sz="4" w:space="0" w:color="auto"/>
            </w:tcBorders>
            <w:vAlign w:val="center"/>
          </w:tcPr>
          <w:p w:rsidR="00E93812" w:rsidRPr="006369E0" w:rsidRDefault="00E93812" w:rsidP="007B1DD1">
            <w:pPr>
              <w:tabs>
                <w:tab w:val="left" w:pos="1800"/>
              </w:tabs>
              <w:rPr>
                <w:rFonts w:ascii="Arial" w:hAnsi="Arial"/>
                <w:sz w:val="18"/>
                <w:szCs w:val="18"/>
              </w:rPr>
            </w:pPr>
            <w:r w:rsidRPr="006369E0">
              <w:rPr>
                <w:rFonts w:ascii="Arial" w:hAnsi="Arial"/>
                <w:sz w:val="18"/>
                <w:szCs w:val="18"/>
              </w:rPr>
              <w:t xml:space="preserve">   316.894.292,83</w:t>
            </w:r>
          </w:p>
        </w:tc>
        <w:tc>
          <w:tcPr>
            <w:tcW w:w="1134" w:type="dxa"/>
            <w:tcBorders>
              <w:bottom w:val="single" w:sz="4" w:space="0" w:color="auto"/>
            </w:tcBorders>
            <w:vAlign w:val="center"/>
          </w:tcPr>
          <w:p w:rsidR="00E93812" w:rsidRPr="006369E0" w:rsidRDefault="00E93812" w:rsidP="007B1DD1">
            <w:pPr>
              <w:tabs>
                <w:tab w:val="left" w:pos="1800"/>
              </w:tabs>
              <w:jc w:val="center"/>
              <w:rPr>
                <w:rFonts w:ascii="Arial" w:hAnsi="Arial"/>
                <w:sz w:val="18"/>
                <w:szCs w:val="18"/>
              </w:rPr>
            </w:pPr>
            <w:r w:rsidRPr="006369E0">
              <w:rPr>
                <w:rFonts w:ascii="Arial" w:hAnsi="Arial"/>
                <w:sz w:val="18"/>
                <w:szCs w:val="18"/>
              </w:rPr>
              <w:t>3,24</w:t>
            </w:r>
          </w:p>
        </w:tc>
      </w:tr>
      <w:tr w:rsidR="00E93812" w:rsidRPr="006369E0" w:rsidTr="00E93812">
        <w:tblPrEx>
          <w:tblCellMar>
            <w:top w:w="0" w:type="dxa"/>
            <w:bottom w:w="0" w:type="dxa"/>
          </w:tblCellMar>
        </w:tblPrEx>
        <w:trPr>
          <w:cantSplit/>
          <w:trHeight w:val="772"/>
        </w:trPr>
        <w:tc>
          <w:tcPr>
            <w:tcW w:w="2088" w:type="dxa"/>
          </w:tcPr>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r w:rsidRPr="006369E0">
              <w:rPr>
                <w:rFonts w:ascii="Arial" w:hAnsi="Arial"/>
                <w:b/>
                <w:sz w:val="18"/>
                <w:szCs w:val="18"/>
              </w:rPr>
              <w:t>Excédent</w:t>
            </w:r>
          </w:p>
          <w:p w:rsidR="00E93812" w:rsidRPr="006369E0" w:rsidRDefault="00E93812" w:rsidP="007B1DD1">
            <w:pPr>
              <w:tabs>
                <w:tab w:val="left" w:pos="1800"/>
              </w:tabs>
              <w:rPr>
                <w:rFonts w:ascii="Arial" w:hAnsi="Arial"/>
                <w:b/>
                <w:sz w:val="18"/>
                <w:szCs w:val="18"/>
              </w:rPr>
            </w:pPr>
            <w:r w:rsidRPr="006369E0">
              <w:rPr>
                <w:rFonts w:ascii="Arial" w:hAnsi="Arial"/>
                <w:b/>
                <w:sz w:val="18"/>
                <w:szCs w:val="18"/>
              </w:rPr>
              <w:t>de recettes</w:t>
            </w:r>
          </w:p>
          <w:p w:rsidR="00E93812" w:rsidRDefault="00E93812" w:rsidP="007B1DD1">
            <w:pPr>
              <w:tabs>
                <w:tab w:val="left" w:pos="1800"/>
              </w:tabs>
              <w:rPr>
                <w:rFonts w:ascii="Arial" w:hAnsi="Arial"/>
                <w:b/>
                <w:sz w:val="18"/>
                <w:szCs w:val="18"/>
              </w:rPr>
            </w:pPr>
            <w:r w:rsidRPr="006369E0">
              <w:rPr>
                <w:rFonts w:ascii="Arial" w:hAnsi="Arial"/>
                <w:b/>
                <w:sz w:val="18"/>
                <w:szCs w:val="18"/>
              </w:rPr>
              <w:t>(1)-(2)</w:t>
            </w:r>
          </w:p>
          <w:p w:rsidR="00E93812" w:rsidRPr="00286D50" w:rsidRDefault="00E93812" w:rsidP="007B1DD1">
            <w:pPr>
              <w:tabs>
                <w:tab w:val="left" w:pos="1800"/>
              </w:tabs>
              <w:rPr>
                <w:rFonts w:ascii="Arial" w:hAnsi="Arial"/>
                <w:b/>
                <w:color w:val="FF0000"/>
                <w:sz w:val="18"/>
                <w:szCs w:val="18"/>
              </w:rPr>
            </w:pPr>
          </w:p>
        </w:tc>
        <w:tc>
          <w:tcPr>
            <w:tcW w:w="1985" w:type="dxa"/>
            <w:gridSpan w:val="2"/>
          </w:tcPr>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r w:rsidRPr="006369E0">
              <w:rPr>
                <w:rFonts w:ascii="Arial" w:hAnsi="Arial"/>
                <w:b/>
                <w:sz w:val="18"/>
                <w:szCs w:val="18"/>
              </w:rPr>
              <w:t xml:space="preserve">      25.019.883,00</w:t>
            </w:r>
          </w:p>
        </w:tc>
        <w:tc>
          <w:tcPr>
            <w:tcW w:w="1843" w:type="dxa"/>
          </w:tcPr>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p>
          <w:p w:rsidR="00E93812" w:rsidRDefault="00E93812" w:rsidP="007B1DD1">
            <w:pPr>
              <w:tabs>
                <w:tab w:val="left" w:pos="1800"/>
              </w:tabs>
              <w:rPr>
                <w:rFonts w:ascii="Arial" w:hAnsi="Arial"/>
                <w:b/>
                <w:sz w:val="18"/>
                <w:szCs w:val="18"/>
              </w:rPr>
            </w:pPr>
            <w:r w:rsidRPr="006369E0">
              <w:rPr>
                <w:rFonts w:ascii="Arial" w:hAnsi="Arial"/>
                <w:b/>
                <w:sz w:val="18"/>
                <w:szCs w:val="18"/>
              </w:rPr>
              <w:t xml:space="preserve">     910.797.972,91</w:t>
            </w:r>
          </w:p>
          <w:p w:rsidR="00E93812" w:rsidRDefault="00E93812" w:rsidP="007B1DD1">
            <w:pPr>
              <w:tabs>
                <w:tab w:val="left" w:pos="1800"/>
              </w:tabs>
              <w:rPr>
                <w:rFonts w:ascii="Arial" w:hAnsi="Arial"/>
                <w:b/>
                <w:color w:val="FF0000"/>
                <w:sz w:val="18"/>
                <w:szCs w:val="18"/>
              </w:rPr>
            </w:pPr>
          </w:p>
          <w:p w:rsidR="00E93812" w:rsidRPr="00286D50" w:rsidRDefault="00E93812" w:rsidP="007B1DD1">
            <w:pPr>
              <w:tabs>
                <w:tab w:val="left" w:pos="1800"/>
              </w:tabs>
              <w:rPr>
                <w:rFonts w:ascii="Arial" w:hAnsi="Arial"/>
                <w:b/>
                <w:color w:val="FF0000"/>
                <w:sz w:val="18"/>
                <w:szCs w:val="18"/>
              </w:rPr>
            </w:pPr>
          </w:p>
        </w:tc>
        <w:tc>
          <w:tcPr>
            <w:tcW w:w="1842" w:type="dxa"/>
          </w:tcPr>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r w:rsidRPr="006369E0">
              <w:rPr>
                <w:rFonts w:ascii="Arial" w:hAnsi="Arial"/>
                <w:b/>
                <w:sz w:val="18"/>
                <w:szCs w:val="18"/>
              </w:rPr>
              <w:t xml:space="preserve">    </w:t>
            </w:r>
            <w:r>
              <w:rPr>
                <w:rFonts w:ascii="Arial" w:hAnsi="Arial"/>
                <w:b/>
                <w:sz w:val="18"/>
                <w:szCs w:val="18"/>
              </w:rPr>
              <w:t>885</w:t>
            </w:r>
            <w:r w:rsidRPr="006369E0">
              <w:rPr>
                <w:rFonts w:ascii="Arial" w:hAnsi="Arial"/>
                <w:b/>
                <w:sz w:val="18"/>
                <w:szCs w:val="18"/>
              </w:rPr>
              <w:t>.</w:t>
            </w:r>
            <w:r>
              <w:rPr>
                <w:rFonts w:ascii="Arial" w:hAnsi="Arial"/>
                <w:b/>
                <w:sz w:val="18"/>
                <w:szCs w:val="18"/>
              </w:rPr>
              <w:t>778</w:t>
            </w:r>
            <w:r w:rsidRPr="006369E0">
              <w:rPr>
                <w:rFonts w:ascii="Arial" w:hAnsi="Arial"/>
                <w:b/>
                <w:sz w:val="18"/>
                <w:szCs w:val="18"/>
              </w:rPr>
              <w:t>.</w:t>
            </w:r>
            <w:r>
              <w:rPr>
                <w:rFonts w:ascii="Arial" w:hAnsi="Arial"/>
                <w:b/>
                <w:sz w:val="18"/>
                <w:szCs w:val="18"/>
              </w:rPr>
              <w:t>089</w:t>
            </w:r>
            <w:r w:rsidRPr="006369E0">
              <w:rPr>
                <w:rFonts w:ascii="Arial" w:hAnsi="Arial"/>
                <w:b/>
                <w:sz w:val="18"/>
                <w:szCs w:val="18"/>
              </w:rPr>
              <w:t>,</w:t>
            </w:r>
            <w:r>
              <w:rPr>
                <w:rFonts w:ascii="Arial" w:hAnsi="Arial"/>
                <w:b/>
                <w:sz w:val="18"/>
                <w:szCs w:val="18"/>
              </w:rPr>
              <w:t>91</w:t>
            </w:r>
          </w:p>
          <w:p w:rsidR="00E93812" w:rsidRPr="006369E0" w:rsidRDefault="00E93812" w:rsidP="007B1DD1">
            <w:pPr>
              <w:tabs>
                <w:tab w:val="left" w:pos="1800"/>
              </w:tabs>
              <w:rPr>
                <w:rFonts w:ascii="Arial" w:hAnsi="Arial"/>
                <w:b/>
                <w:sz w:val="18"/>
                <w:szCs w:val="18"/>
              </w:rPr>
            </w:pPr>
          </w:p>
        </w:tc>
        <w:tc>
          <w:tcPr>
            <w:tcW w:w="1134" w:type="dxa"/>
          </w:tcPr>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p>
          <w:p w:rsidR="00E93812" w:rsidRPr="006369E0" w:rsidRDefault="00E93812" w:rsidP="007B1DD1">
            <w:pPr>
              <w:tabs>
                <w:tab w:val="left" w:pos="1800"/>
              </w:tabs>
              <w:rPr>
                <w:rFonts w:ascii="Arial" w:hAnsi="Arial"/>
                <w:b/>
                <w:sz w:val="18"/>
                <w:szCs w:val="18"/>
              </w:rPr>
            </w:pPr>
          </w:p>
        </w:tc>
      </w:tr>
      <w:tr w:rsidR="00E93812" w:rsidRPr="00FF1017" w:rsidTr="00E93812">
        <w:tblPrEx>
          <w:tblCellMar>
            <w:top w:w="0" w:type="dxa"/>
            <w:bottom w:w="0" w:type="dxa"/>
          </w:tblCellMar>
        </w:tblPrEx>
        <w:trPr>
          <w:gridAfter w:val="4"/>
          <w:wAfter w:w="6634" w:type="dxa"/>
          <w:cantSplit/>
          <w:trHeight w:val="299"/>
        </w:trPr>
        <w:tc>
          <w:tcPr>
            <w:tcW w:w="2258" w:type="dxa"/>
            <w:gridSpan w:val="2"/>
            <w:tcBorders>
              <w:left w:val="nil"/>
              <w:bottom w:val="nil"/>
              <w:right w:val="nil"/>
            </w:tcBorders>
          </w:tcPr>
          <w:p w:rsidR="00E93812" w:rsidRPr="00FF1017" w:rsidRDefault="00E93812" w:rsidP="007B1DD1">
            <w:pPr>
              <w:tabs>
                <w:tab w:val="left" w:pos="1800"/>
              </w:tabs>
              <w:rPr>
                <w:rFonts w:ascii="Arial" w:hAnsi="Arial"/>
                <w:color w:val="0070C0"/>
                <w:sz w:val="18"/>
                <w:szCs w:val="18"/>
              </w:rPr>
            </w:pPr>
          </w:p>
        </w:tc>
      </w:tr>
    </w:tbl>
    <w:p w:rsidR="00E93812" w:rsidRPr="00286D50" w:rsidRDefault="00E93812" w:rsidP="00E93812">
      <w:pPr>
        <w:autoSpaceDE w:val="0"/>
        <w:autoSpaceDN w:val="0"/>
        <w:adjustRightInd w:val="0"/>
        <w:jc w:val="both"/>
        <w:rPr>
          <w:color w:val="0070C0"/>
        </w:rPr>
      </w:pPr>
      <w:r w:rsidRPr="00286D50">
        <w:t xml:space="preserve">Le compte général de l'exercice 2010 est clôturé avec un excédent de recettes de 910,8 millions d'euros. En faisant abstraction des recettes du produit d'emprunts nouveaux (1.597,5 millions d'euros), le compte général pour l'exercice 2010 affiche </w:t>
      </w:r>
      <w:r>
        <w:t xml:space="preserve">cependant </w:t>
      </w:r>
      <w:r w:rsidRPr="00286D50">
        <w:rPr>
          <w:b/>
          <w:u w:val="single"/>
        </w:rPr>
        <w:t>un excédent de dépenses de 686,7 millions d'euros</w:t>
      </w:r>
      <w:r w:rsidRPr="00286D50">
        <w:t>.</w:t>
      </w:r>
    </w:p>
    <w:p w:rsidR="00E93812" w:rsidRDefault="00E93812" w:rsidP="0075061C">
      <w:pPr>
        <w:autoSpaceDE w:val="0"/>
        <w:autoSpaceDN w:val="0"/>
        <w:adjustRightInd w:val="0"/>
        <w:jc w:val="both"/>
      </w:pPr>
    </w:p>
    <w:p w:rsidR="00E27621" w:rsidRDefault="00E27621" w:rsidP="0075061C">
      <w:pPr>
        <w:autoSpaceDE w:val="0"/>
        <w:autoSpaceDN w:val="0"/>
        <w:adjustRightInd w:val="0"/>
        <w:jc w:val="both"/>
      </w:pPr>
    </w:p>
    <w:p w:rsidR="00E93812" w:rsidRPr="00FF447F" w:rsidRDefault="00E93812" w:rsidP="00E93812">
      <w:pPr>
        <w:autoSpaceDE w:val="0"/>
        <w:autoSpaceDN w:val="0"/>
        <w:adjustRightInd w:val="0"/>
        <w:jc w:val="both"/>
      </w:pPr>
      <w:r w:rsidRPr="00FF447F">
        <w:t xml:space="preserve">Les </w:t>
      </w:r>
      <w:r w:rsidRPr="00FF447F">
        <w:rPr>
          <w:u w:val="single"/>
        </w:rPr>
        <w:t>dépenses courantes et en capital</w:t>
      </w:r>
      <w:r w:rsidRPr="00FF447F">
        <w:t xml:space="preserve"> effectives </w:t>
      </w:r>
      <w:r w:rsidRPr="00FF447F">
        <w:rPr>
          <w:u w:val="single"/>
        </w:rPr>
        <w:t>dépassent de 3,24% le total des dépenses prévues</w:t>
      </w:r>
      <w:r w:rsidRPr="00FF447F">
        <w:t xml:space="preserve"> pour 2010</w:t>
      </w:r>
      <w:r>
        <w:t xml:space="preserve"> (cette évolution était de 4,46% en 2009)</w:t>
      </w:r>
      <w:r w:rsidRPr="00FF447F">
        <w:t xml:space="preserve">. En valeur absolue, cet écart correspond à 317 millions d’euros. </w:t>
      </w:r>
    </w:p>
    <w:p w:rsidR="00E93812" w:rsidRPr="0075061C" w:rsidRDefault="00E93812" w:rsidP="0075061C">
      <w:pPr>
        <w:autoSpaceDE w:val="0"/>
        <w:autoSpaceDN w:val="0"/>
        <w:adjustRightInd w:val="0"/>
        <w:jc w:val="both"/>
      </w:pPr>
    </w:p>
    <w:p w:rsidR="00E93812" w:rsidRDefault="00E93812" w:rsidP="00E93812">
      <w:pPr>
        <w:autoSpaceDE w:val="0"/>
        <w:autoSpaceDN w:val="0"/>
        <w:adjustRightInd w:val="0"/>
        <w:jc w:val="both"/>
      </w:pPr>
      <w:r w:rsidRPr="00FF447F">
        <w:t xml:space="preserve">Ces </w:t>
      </w:r>
      <w:r w:rsidRPr="00FF447F">
        <w:rPr>
          <w:u w:val="single"/>
        </w:rPr>
        <w:t>dépenses supplémentaires</w:t>
      </w:r>
      <w:r w:rsidRPr="00FF447F">
        <w:t xml:space="preserve"> proviennent notamment de la majoration relative:</w:t>
      </w:r>
    </w:p>
    <w:p w:rsidR="00E93812" w:rsidRPr="00FF447F" w:rsidRDefault="00E93812" w:rsidP="00E93812">
      <w:pPr>
        <w:autoSpaceDE w:val="0"/>
        <w:autoSpaceDN w:val="0"/>
        <w:adjustRightInd w:val="0"/>
        <w:jc w:val="both"/>
      </w:pPr>
    </w:p>
    <w:p w:rsidR="00E93812" w:rsidRPr="00FF447F" w:rsidRDefault="00E93812" w:rsidP="00E93812">
      <w:pPr>
        <w:autoSpaceDE w:val="0"/>
        <w:autoSpaceDN w:val="0"/>
        <w:adjustRightInd w:val="0"/>
        <w:jc w:val="both"/>
        <w:rPr>
          <w:lang w:val="fr-LU" w:eastAsia="fr-LU"/>
        </w:rPr>
      </w:pPr>
      <w:r w:rsidRPr="00FF447F">
        <w:rPr>
          <w:lang w:val="fr-LU" w:eastAsia="fr-LU"/>
        </w:rPr>
        <w:t>• au remboursement de la dette publique</w:t>
      </w:r>
      <w:r>
        <w:rPr>
          <w:lang w:val="fr-LU" w:eastAsia="fr-LU"/>
        </w:rPr>
        <w:t xml:space="preserve"> (Fonds de la dette publique)</w:t>
      </w:r>
      <w:r w:rsidRPr="00FF447F">
        <w:rPr>
          <w:lang w:val="fr-LU" w:eastAsia="fr-LU"/>
        </w:rPr>
        <w:t xml:space="preserve"> (+ 133.555.700,00 euros) ;</w:t>
      </w:r>
    </w:p>
    <w:p w:rsidR="00E93812" w:rsidRPr="00FF447F" w:rsidRDefault="00E93812" w:rsidP="00E93812">
      <w:pPr>
        <w:autoSpaceDE w:val="0"/>
        <w:autoSpaceDN w:val="0"/>
        <w:adjustRightInd w:val="0"/>
        <w:jc w:val="both"/>
        <w:rPr>
          <w:lang w:val="fr-LU" w:eastAsia="fr-LU"/>
        </w:rPr>
      </w:pPr>
      <w:r w:rsidRPr="00FF447F">
        <w:rPr>
          <w:lang w:val="fr-LU" w:eastAsia="fr-LU"/>
        </w:rPr>
        <w:t xml:space="preserve">• aux transferts de revenus aux ménages (+ </w:t>
      </w:r>
      <w:r>
        <w:rPr>
          <w:lang w:val="fr-LU" w:eastAsia="fr-LU"/>
        </w:rPr>
        <w:t>56</w:t>
      </w:r>
      <w:r w:rsidRPr="00FF447F">
        <w:rPr>
          <w:lang w:val="fr-LU" w:eastAsia="fr-LU"/>
        </w:rPr>
        <w:t>.</w:t>
      </w:r>
      <w:r>
        <w:rPr>
          <w:lang w:val="fr-LU" w:eastAsia="fr-LU"/>
        </w:rPr>
        <w:t>150</w:t>
      </w:r>
      <w:r w:rsidRPr="00FF447F">
        <w:rPr>
          <w:lang w:val="fr-LU" w:eastAsia="fr-LU"/>
        </w:rPr>
        <w:t>.</w:t>
      </w:r>
      <w:r>
        <w:rPr>
          <w:lang w:val="fr-LU" w:eastAsia="fr-LU"/>
        </w:rPr>
        <w:t>659</w:t>
      </w:r>
      <w:r w:rsidRPr="00FF447F">
        <w:rPr>
          <w:lang w:val="fr-LU" w:eastAsia="fr-LU"/>
        </w:rPr>
        <w:t>,</w:t>
      </w:r>
      <w:r>
        <w:rPr>
          <w:lang w:val="fr-LU" w:eastAsia="fr-LU"/>
        </w:rPr>
        <w:t>00</w:t>
      </w:r>
      <w:r w:rsidRPr="00FF447F">
        <w:rPr>
          <w:lang w:val="fr-LU" w:eastAsia="fr-LU"/>
        </w:rPr>
        <w:t xml:space="preserve"> euros) ;</w:t>
      </w:r>
    </w:p>
    <w:p w:rsidR="00E93812" w:rsidRPr="00FF447F" w:rsidRDefault="00E93812" w:rsidP="00E93812">
      <w:pPr>
        <w:autoSpaceDE w:val="0"/>
        <w:autoSpaceDN w:val="0"/>
        <w:adjustRightInd w:val="0"/>
        <w:jc w:val="both"/>
        <w:rPr>
          <w:lang w:val="fr-LU" w:eastAsia="fr-LU"/>
        </w:rPr>
      </w:pPr>
      <w:r w:rsidRPr="00FF447F">
        <w:rPr>
          <w:lang w:val="fr-LU" w:eastAsia="fr-LU"/>
        </w:rPr>
        <w:t>• à l’achat de terrains et bâtiments dans le pays (+ 49.469.943,22 euros)</w:t>
      </w:r>
      <w:r>
        <w:rPr>
          <w:lang w:val="fr-LU" w:eastAsia="fr-LU"/>
        </w:rPr>
        <w:t> ;</w:t>
      </w:r>
    </w:p>
    <w:p w:rsidR="00E93812" w:rsidRPr="00FF447F" w:rsidRDefault="00E93812" w:rsidP="00E93812">
      <w:pPr>
        <w:autoSpaceDE w:val="0"/>
        <w:autoSpaceDN w:val="0"/>
        <w:adjustRightInd w:val="0"/>
        <w:jc w:val="both"/>
        <w:rPr>
          <w:lang w:val="fr-LU" w:eastAsia="fr-LU"/>
        </w:rPr>
      </w:pPr>
      <w:r w:rsidRPr="00FF447F">
        <w:rPr>
          <w:lang w:val="fr-LU" w:eastAsia="fr-LU"/>
        </w:rPr>
        <w:t>• aux transferts de revenus aux administrations de sécurité sociale (+ 4</w:t>
      </w:r>
      <w:r>
        <w:rPr>
          <w:lang w:val="fr-LU" w:eastAsia="fr-LU"/>
        </w:rPr>
        <w:t>1</w:t>
      </w:r>
      <w:r w:rsidRPr="00FF447F">
        <w:rPr>
          <w:lang w:val="fr-LU" w:eastAsia="fr-LU"/>
        </w:rPr>
        <w:t>.</w:t>
      </w:r>
      <w:r>
        <w:rPr>
          <w:lang w:val="fr-LU" w:eastAsia="fr-LU"/>
        </w:rPr>
        <w:t>669</w:t>
      </w:r>
      <w:r w:rsidRPr="00FF447F">
        <w:rPr>
          <w:lang w:val="fr-LU" w:eastAsia="fr-LU"/>
        </w:rPr>
        <w:t>.</w:t>
      </w:r>
      <w:r>
        <w:rPr>
          <w:lang w:val="fr-LU" w:eastAsia="fr-LU"/>
        </w:rPr>
        <w:t>089</w:t>
      </w:r>
      <w:r w:rsidRPr="00FF447F">
        <w:rPr>
          <w:lang w:val="fr-LU" w:eastAsia="fr-LU"/>
        </w:rPr>
        <w:t>,</w:t>
      </w:r>
      <w:r>
        <w:rPr>
          <w:lang w:val="fr-LU" w:eastAsia="fr-LU"/>
        </w:rPr>
        <w:t>84</w:t>
      </w:r>
      <w:r w:rsidRPr="00FF447F">
        <w:rPr>
          <w:lang w:val="fr-LU" w:eastAsia="fr-LU"/>
        </w:rPr>
        <w:t xml:space="preserve"> euros) ;</w:t>
      </w:r>
    </w:p>
    <w:p w:rsidR="00E93812" w:rsidRPr="00FF447F" w:rsidRDefault="00E93812" w:rsidP="00E93812">
      <w:pPr>
        <w:autoSpaceDE w:val="0"/>
        <w:autoSpaceDN w:val="0"/>
        <w:adjustRightInd w:val="0"/>
        <w:jc w:val="both"/>
        <w:rPr>
          <w:lang w:val="fr-LU" w:eastAsia="fr-LU"/>
        </w:rPr>
      </w:pPr>
      <w:r w:rsidRPr="00FF447F">
        <w:rPr>
          <w:lang w:val="fr-LU" w:eastAsia="fr-LU"/>
        </w:rPr>
        <w:t>• aux transferts de revenus aux administrations publiques locales (+ 2</w:t>
      </w:r>
      <w:r>
        <w:rPr>
          <w:lang w:val="fr-LU" w:eastAsia="fr-LU"/>
        </w:rPr>
        <w:t>9</w:t>
      </w:r>
      <w:r w:rsidRPr="00FF447F">
        <w:rPr>
          <w:lang w:val="fr-LU" w:eastAsia="fr-LU"/>
        </w:rPr>
        <w:t>.</w:t>
      </w:r>
      <w:r>
        <w:rPr>
          <w:lang w:val="fr-LU" w:eastAsia="fr-LU"/>
        </w:rPr>
        <w:t>273</w:t>
      </w:r>
      <w:r w:rsidRPr="00FF447F">
        <w:rPr>
          <w:lang w:val="fr-LU" w:eastAsia="fr-LU"/>
        </w:rPr>
        <w:t>.</w:t>
      </w:r>
      <w:r>
        <w:rPr>
          <w:lang w:val="fr-LU" w:eastAsia="fr-LU"/>
        </w:rPr>
        <w:t>289</w:t>
      </w:r>
      <w:r w:rsidRPr="00FF447F">
        <w:rPr>
          <w:lang w:val="fr-LU" w:eastAsia="fr-LU"/>
        </w:rPr>
        <w:t>,</w:t>
      </w:r>
      <w:r>
        <w:rPr>
          <w:lang w:val="fr-LU" w:eastAsia="fr-LU"/>
        </w:rPr>
        <w:t>84</w:t>
      </w:r>
      <w:r w:rsidRPr="00FF447F">
        <w:rPr>
          <w:lang w:val="fr-LU" w:eastAsia="fr-LU"/>
        </w:rPr>
        <w:t xml:space="preserve"> euros) ;</w:t>
      </w:r>
    </w:p>
    <w:p w:rsidR="00E93812" w:rsidRPr="00FF447F" w:rsidRDefault="00E93812" w:rsidP="00E93812">
      <w:pPr>
        <w:autoSpaceDE w:val="0"/>
        <w:autoSpaceDN w:val="0"/>
        <w:adjustRightInd w:val="0"/>
        <w:jc w:val="both"/>
        <w:rPr>
          <w:lang w:val="fr-LU" w:eastAsia="fr-LU"/>
        </w:rPr>
      </w:pPr>
      <w:r w:rsidRPr="00FF447F">
        <w:rPr>
          <w:lang w:val="fr-LU" w:eastAsia="fr-LU"/>
        </w:rPr>
        <w:t xml:space="preserve">• aux dotations de fonds de réserve (+ </w:t>
      </w:r>
      <w:r>
        <w:rPr>
          <w:lang w:val="fr-LU" w:eastAsia="fr-LU"/>
        </w:rPr>
        <w:t>26</w:t>
      </w:r>
      <w:r w:rsidRPr="00FF447F">
        <w:rPr>
          <w:lang w:val="fr-LU" w:eastAsia="fr-LU"/>
        </w:rPr>
        <w:t>.</w:t>
      </w:r>
      <w:r>
        <w:rPr>
          <w:lang w:val="fr-LU" w:eastAsia="fr-LU"/>
        </w:rPr>
        <w:t>715</w:t>
      </w:r>
      <w:r w:rsidRPr="00FF447F">
        <w:rPr>
          <w:lang w:val="fr-LU" w:eastAsia="fr-LU"/>
        </w:rPr>
        <w:t>.</w:t>
      </w:r>
      <w:r>
        <w:rPr>
          <w:lang w:val="fr-LU" w:eastAsia="fr-LU"/>
        </w:rPr>
        <w:t>811</w:t>
      </w:r>
      <w:r w:rsidRPr="00FF447F">
        <w:rPr>
          <w:lang w:val="fr-LU" w:eastAsia="fr-LU"/>
        </w:rPr>
        <w:t>,</w:t>
      </w:r>
      <w:r>
        <w:rPr>
          <w:lang w:val="fr-LU" w:eastAsia="fr-LU"/>
        </w:rPr>
        <w:t>31</w:t>
      </w:r>
      <w:r w:rsidRPr="00FF447F">
        <w:rPr>
          <w:lang w:val="fr-LU" w:eastAsia="fr-LU"/>
        </w:rPr>
        <w:t xml:space="preserve"> euros) ;</w:t>
      </w:r>
    </w:p>
    <w:p w:rsidR="00E93812" w:rsidRPr="00FF447F" w:rsidRDefault="00E93812" w:rsidP="00E93812">
      <w:pPr>
        <w:autoSpaceDE w:val="0"/>
        <w:autoSpaceDN w:val="0"/>
        <w:adjustRightInd w:val="0"/>
        <w:jc w:val="both"/>
        <w:rPr>
          <w:lang w:val="fr-LU" w:eastAsia="fr-LU"/>
        </w:rPr>
      </w:pPr>
      <w:r w:rsidRPr="00FF447F">
        <w:rPr>
          <w:lang w:val="fr-LU" w:eastAsia="fr-LU"/>
        </w:rPr>
        <w:t xml:space="preserve">• aux subventions d’exploitation (+ </w:t>
      </w:r>
      <w:r>
        <w:rPr>
          <w:lang w:val="fr-LU" w:eastAsia="fr-LU"/>
        </w:rPr>
        <w:t>17</w:t>
      </w:r>
      <w:r w:rsidRPr="00FF447F">
        <w:rPr>
          <w:lang w:val="fr-LU" w:eastAsia="fr-LU"/>
        </w:rPr>
        <w:t>.</w:t>
      </w:r>
      <w:r>
        <w:rPr>
          <w:lang w:val="fr-LU" w:eastAsia="fr-LU"/>
        </w:rPr>
        <w:t>836</w:t>
      </w:r>
      <w:r w:rsidRPr="00FF447F">
        <w:rPr>
          <w:lang w:val="fr-LU" w:eastAsia="fr-LU"/>
        </w:rPr>
        <w:t>.</w:t>
      </w:r>
      <w:r>
        <w:rPr>
          <w:lang w:val="fr-LU" w:eastAsia="fr-LU"/>
        </w:rPr>
        <w:t>310</w:t>
      </w:r>
      <w:r w:rsidRPr="00FF447F">
        <w:rPr>
          <w:lang w:val="fr-LU" w:eastAsia="fr-LU"/>
        </w:rPr>
        <w:t>,6</w:t>
      </w:r>
      <w:r>
        <w:rPr>
          <w:lang w:val="fr-LU" w:eastAsia="fr-LU"/>
        </w:rPr>
        <w:t>7</w:t>
      </w:r>
      <w:r w:rsidRPr="00FF447F">
        <w:rPr>
          <w:lang w:val="fr-LU" w:eastAsia="fr-LU"/>
        </w:rPr>
        <w:t xml:space="preserve"> euros) ;</w:t>
      </w:r>
    </w:p>
    <w:p w:rsidR="00E93812" w:rsidRPr="00FF447F" w:rsidRDefault="00E93812" w:rsidP="00E93812">
      <w:pPr>
        <w:autoSpaceDE w:val="0"/>
        <w:autoSpaceDN w:val="0"/>
        <w:adjustRightInd w:val="0"/>
        <w:jc w:val="both"/>
        <w:rPr>
          <w:lang w:val="fr-LU" w:eastAsia="fr-LU"/>
        </w:rPr>
      </w:pPr>
      <w:r w:rsidRPr="00FF447F">
        <w:rPr>
          <w:lang w:val="fr-LU" w:eastAsia="fr-LU"/>
        </w:rPr>
        <w:lastRenderedPageBreak/>
        <w:t xml:space="preserve">• aux transferts de capitaux aux entreprises (+ </w:t>
      </w:r>
      <w:r>
        <w:rPr>
          <w:lang w:val="fr-LU" w:eastAsia="fr-LU"/>
        </w:rPr>
        <w:t>12</w:t>
      </w:r>
      <w:r w:rsidRPr="00FF447F">
        <w:rPr>
          <w:lang w:val="fr-LU" w:eastAsia="fr-LU"/>
        </w:rPr>
        <w:t>.</w:t>
      </w:r>
      <w:r>
        <w:rPr>
          <w:lang w:val="fr-LU" w:eastAsia="fr-LU"/>
        </w:rPr>
        <w:t>312</w:t>
      </w:r>
      <w:r w:rsidRPr="00FF447F">
        <w:rPr>
          <w:lang w:val="fr-LU" w:eastAsia="fr-LU"/>
        </w:rPr>
        <w:t>.</w:t>
      </w:r>
      <w:r>
        <w:rPr>
          <w:lang w:val="fr-LU" w:eastAsia="fr-LU"/>
        </w:rPr>
        <w:t>646</w:t>
      </w:r>
      <w:r w:rsidRPr="00FF447F">
        <w:rPr>
          <w:lang w:val="fr-LU" w:eastAsia="fr-LU"/>
        </w:rPr>
        <w:t>,</w:t>
      </w:r>
      <w:r>
        <w:rPr>
          <w:lang w:val="fr-LU" w:eastAsia="fr-LU"/>
        </w:rPr>
        <w:t>07</w:t>
      </w:r>
      <w:r w:rsidRPr="00FF447F">
        <w:rPr>
          <w:lang w:val="fr-LU" w:eastAsia="fr-LU"/>
        </w:rPr>
        <w:t xml:space="preserve"> euros)</w:t>
      </w:r>
      <w:r>
        <w:rPr>
          <w:lang w:val="fr-LU" w:eastAsia="fr-LU"/>
        </w:rPr>
        <w:t>.</w:t>
      </w:r>
    </w:p>
    <w:p w:rsidR="00E93812" w:rsidRPr="00FF1017" w:rsidRDefault="00E93812" w:rsidP="00E93812">
      <w:pPr>
        <w:autoSpaceDE w:val="0"/>
        <w:autoSpaceDN w:val="0"/>
        <w:adjustRightInd w:val="0"/>
        <w:rPr>
          <w:rFonts w:ascii="Times-Roman" w:hAnsi="Times-Roman" w:cs="Times-Roman"/>
          <w:color w:val="0070C0"/>
        </w:rPr>
      </w:pPr>
    </w:p>
    <w:p w:rsidR="00E93812" w:rsidRPr="00134D72" w:rsidRDefault="00E93812" w:rsidP="00E93812">
      <w:pPr>
        <w:autoSpaceDE w:val="0"/>
        <w:autoSpaceDN w:val="0"/>
        <w:adjustRightInd w:val="0"/>
        <w:jc w:val="both"/>
      </w:pPr>
      <w:r w:rsidRPr="00134D72">
        <w:t xml:space="preserve">Par rapport au compte général de l’exercice 2009, </w:t>
      </w:r>
      <w:r w:rsidRPr="00134D72">
        <w:rPr>
          <w:u w:val="single"/>
        </w:rPr>
        <w:t>les dépenses courantes et en capital</w:t>
      </w:r>
      <w:r w:rsidRPr="00134D72">
        <w:t xml:space="preserve"> ont augmenté de 4,40% (soit 426 millions d’euros).</w:t>
      </w:r>
    </w:p>
    <w:p w:rsidR="00EF257C" w:rsidRPr="00E93812" w:rsidRDefault="00EF257C" w:rsidP="00EF257C">
      <w:pPr>
        <w:autoSpaceDE w:val="0"/>
        <w:autoSpaceDN w:val="0"/>
        <w:adjustRightInd w:val="0"/>
        <w:jc w:val="both"/>
        <w:rPr>
          <w:color w:val="C00000"/>
        </w:rPr>
      </w:pPr>
    </w:p>
    <w:p w:rsidR="00EF257C" w:rsidRDefault="00EF257C" w:rsidP="00EF257C">
      <w:pPr>
        <w:autoSpaceDE w:val="0"/>
        <w:autoSpaceDN w:val="0"/>
        <w:adjustRightInd w:val="0"/>
        <w:jc w:val="both"/>
        <w:rPr>
          <w:color w:val="C00000"/>
        </w:rPr>
      </w:pPr>
    </w:p>
    <w:p w:rsidR="00E93812" w:rsidRPr="00CF1500" w:rsidRDefault="00E93812" w:rsidP="00E93812">
      <w:pPr>
        <w:autoSpaceDE w:val="0"/>
        <w:autoSpaceDN w:val="0"/>
        <w:adjustRightInd w:val="0"/>
        <w:jc w:val="both"/>
      </w:pPr>
      <w:r w:rsidRPr="005F0F90">
        <w:rPr>
          <w:bCs/>
        </w:rPr>
        <w:t>En ce qui concerne la s</w:t>
      </w:r>
      <w:r w:rsidRPr="005F0F90">
        <w:rPr>
          <w:bCs/>
          <w:iCs/>
        </w:rPr>
        <w:t xml:space="preserve">ituation financière des </w:t>
      </w:r>
      <w:r w:rsidRPr="00E93812">
        <w:rPr>
          <w:bCs/>
          <w:iCs/>
          <w:u w:val="single"/>
        </w:rPr>
        <w:t>Fonds spéciaux</w:t>
      </w:r>
      <w:r w:rsidRPr="005F0F90">
        <w:rPr>
          <w:bCs/>
          <w:iCs/>
        </w:rPr>
        <w:t xml:space="preserve"> de l’Etat, </w:t>
      </w:r>
      <w:r w:rsidRPr="005F0F90">
        <w:t xml:space="preserve">la Cour des comptes constate une régression de 9% des avoirs des fonds spéciaux de l’Etat au courant de l’exercice </w:t>
      </w:r>
      <w:r w:rsidRPr="00CF1500">
        <w:t>2010 (contre une augmentation de 32% en 2009). Dans les projections des recettes et des dépenses du projet de budget de 2010, cette diminution avait été estimée à -39,05%. Cette amélioration s’explique par le fait que les recettes des fonds spéciaux ont été plus importantes que prévues (+</w:t>
      </w:r>
      <w:r>
        <w:t>7</w:t>
      </w:r>
      <w:r w:rsidRPr="00CF1500">
        <w:t>,</w:t>
      </w:r>
      <w:r>
        <w:t>07</w:t>
      </w:r>
      <w:r w:rsidRPr="00CF1500">
        <w:t>%) et que l’évolution des dépenses a été moins prononcée que prévue en 2010 (-</w:t>
      </w:r>
      <w:r>
        <w:t>10</w:t>
      </w:r>
      <w:r w:rsidRPr="00CF1500">
        <w:t>,</w:t>
      </w:r>
      <w:r>
        <w:t>14</w:t>
      </w:r>
      <w:r w:rsidRPr="00CF1500">
        <w:t>%).</w:t>
      </w:r>
    </w:p>
    <w:p w:rsidR="00E93812" w:rsidRDefault="00E93812" w:rsidP="00EF257C">
      <w:pPr>
        <w:autoSpaceDE w:val="0"/>
        <w:autoSpaceDN w:val="0"/>
        <w:adjustRightInd w:val="0"/>
        <w:jc w:val="both"/>
        <w:rPr>
          <w:color w:val="C00000"/>
        </w:rPr>
      </w:pPr>
    </w:p>
    <w:p w:rsidR="00E93812" w:rsidRPr="002D089A" w:rsidRDefault="00E93812" w:rsidP="00E93812">
      <w:pPr>
        <w:autoSpaceDE w:val="0"/>
        <w:autoSpaceDN w:val="0"/>
        <w:adjustRightInd w:val="0"/>
        <w:jc w:val="both"/>
      </w:pPr>
      <w:r>
        <w:t>A</w:t>
      </w:r>
      <w:r w:rsidRPr="00CF1500">
        <w:t>u cours de l’exercice 2010, des emprunts à hauteur de 200 millions d’euros</w:t>
      </w:r>
      <w:r>
        <w:t xml:space="preserve"> </w:t>
      </w:r>
      <w:r w:rsidRPr="002D089A">
        <w:t>ont été crédités sur le Fonds du rail et le Fonds des routes. Déduction faite de ces emprunts, la diminution des avoirs des fonds spéciaux est de l’ordre de 18,38%.</w:t>
      </w:r>
    </w:p>
    <w:p w:rsidR="00E93812" w:rsidRPr="00E93812" w:rsidRDefault="00E93812" w:rsidP="00EF257C">
      <w:pPr>
        <w:autoSpaceDE w:val="0"/>
        <w:autoSpaceDN w:val="0"/>
        <w:adjustRightInd w:val="0"/>
        <w:jc w:val="both"/>
        <w:rPr>
          <w:color w:val="C00000"/>
        </w:rPr>
      </w:pPr>
    </w:p>
    <w:sectPr w:rsidR="00E93812" w:rsidRPr="00E93812">
      <w:footerReference w:type="even" r:id="rId7"/>
      <w:footerReference w:type="default" r:id="rId8"/>
      <w:pgSz w:w="12240" w:h="15840"/>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D1" w:rsidRDefault="007B1DD1">
      <w:r>
        <w:separator/>
      </w:r>
    </w:p>
  </w:endnote>
  <w:endnote w:type="continuationSeparator" w:id="0">
    <w:p w:rsidR="007B1DD1" w:rsidRDefault="007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51" w:rsidRDefault="00582051"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sidR="00E6762B">
      <w:rPr>
        <w:rStyle w:val="Numrodepage"/>
      </w:rPr>
      <w:fldChar w:fldCharType="separate"/>
    </w:r>
    <w:r w:rsidR="00E6762B">
      <w:rPr>
        <w:rStyle w:val="Numrodepage"/>
        <w:noProof/>
      </w:rPr>
      <w:t>10</w:t>
    </w:r>
    <w:r>
      <w:rPr>
        <w:rStyle w:val="Numrodepage"/>
      </w:rPr>
      <w:fldChar w:fldCharType="end"/>
    </w:r>
  </w:p>
  <w:p w:rsidR="00582051" w:rsidRDefault="0058205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51" w:rsidRDefault="00582051"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B7529">
      <w:rPr>
        <w:rStyle w:val="Numrodepage"/>
        <w:noProof/>
      </w:rPr>
      <w:t>1</w:t>
    </w:r>
    <w:r>
      <w:rPr>
        <w:rStyle w:val="Numrodepage"/>
      </w:rPr>
      <w:fldChar w:fldCharType="end"/>
    </w:r>
  </w:p>
  <w:p w:rsidR="00582051" w:rsidRDefault="0058205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D1" w:rsidRDefault="007B1DD1">
      <w:r>
        <w:separator/>
      </w:r>
    </w:p>
  </w:footnote>
  <w:footnote w:type="continuationSeparator" w:id="0">
    <w:p w:rsidR="007B1DD1" w:rsidRDefault="007B1D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6E"/>
    <w:multiLevelType w:val="hybridMultilevel"/>
    <w:tmpl w:val="8A7E7CD4"/>
    <w:lvl w:ilvl="0" w:tplc="140C000F">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35451EA"/>
    <w:multiLevelType w:val="singleLevel"/>
    <w:tmpl w:val="681EDA4C"/>
    <w:lvl w:ilvl="0">
      <w:start w:val="17"/>
      <w:numFmt w:val="bullet"/>
      <w:lvlText w:val="-"/>
      <w:lvlJc w:val="left"/>
      <w:pPr>
        <w:tabs>
          <w:tab w:val="num" w:pos="360"/>
        </w:tabs>
        <w:ind w:left="360" w:hanging="360"/>
      </w:pPr>
    </w:lvl>
  </w:abstractNum>
  <w:abstractNum w:abstractNumId="2" w15:restartNumberingAfterBreak="0">
    <w:nsid w:val="05EE2F02"/>
    <w:multiLevelType w:val="hybridMultilevel"/>
    <w:tmpl w:val="DC2E8328"/>
    <w:lvl w:ilvl="0" w:tplc="31A6FA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61ED2"/>
    <w:multiLevelType w:val="hybridMultilevel"/>
    <w:tmpl w:val="1A6867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5B734E6"/>
    <w:multiLevelType w:val="hybridMultilevel"/>
    <w:tmpl w:val="6A5489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FD07AF5"/>
    <w:multiLevelType w:val="hybridMultilevel"/>
    <w:tmpl w:val="6A6E8F8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16244EF"/>
    <w:multiLevelType w:val="hybridMultilevel"/>
    <w:tmpl w:val="63DC7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78339A1"/>
    <w:multiLevelType w:val="multilevel"/>
    <w:tmpl w:val="70F85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lvlOverride w:ilvl="0"/>
  </w:num>
  <w:num w:numId="3">
    <w:abstractNumId w:val="5"/>
  </w:num>
  <w:num w:numId="4">
    <w:abstractNumId w:val="6"/>
  </w:num>
  <w:num w:numId="5">
    <w:abstractNumId w:val="3"/>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3E9"/>
    <w:rsid w:val="0000235F"/>
    <w:rsid w:val="00010059"/>
    <w:rsid w:val="00010D9E"/>
    <w:rsid w:val="00015131"/>
    <w:rsid w:val="00015604"/>
    <w:rsid w:val="00020AA2"/>
    <w:rsid w:val="00026AB6"/>
    <w:rsid w:val="00027CD0"/>
    <w:rsid w:val="00033831"/>
    <w:rsid w:val="00036785"/>
    <w:rsid w:val="0003724F"/>
    <w:rsid w:val="00041891"/>
    <w:rsid w:val="00044700"/>
    <w:rsid w:val="00046A27"/>
    <w:rsid w:val="000645A1"/>
    <w:rsid w:val="00074900"/>
    <w:rsid w:val="0007673F"/>
    <w:rsid w:val="000854BE"/>
    <w:rsid w:val="0008744E"/>
    <w:rsid w:val="00092983"/>
    <w:rsid w:val="00097E19"/>
    <w:rsid w:val="000A1C64"/>
    <w:rsid w:val="000A2A20"/>
    <w:rsid w:val="000A2B94"/>
    <w:rsid w:val="000A2EF1"/>
    <w:rsid w:val="000A4532"/>
    <w:rsid w:val="000A58A1"/>
    <w:rsid w:val="000A6BD8"/>
    <w:rsid w:val="000B3A01"/>
    <w:rsid w:val="000D5C98"/>
    <w:rsid w:val="000D5FB7"/>
    <w:rsid w:val="000E081A"/>
    <w:rsid w:val="000E123D"/>
    <w:rsid w:val="000E19E4"/>
    <w:rsid w:val="000F18B0"/>
    <w:rsid w:val="000F7378"/>
    <w:rsid w:val="00106DFD"/>
    <w:rsid w:val="00122C4A"/>
    <w:rsid w:val="00127218"/>
    <w:rsid w:val="001325AB"/>
    <w:rsid w:val="00134B94"/>
    <w:rsid w:val="001353E9"/>
    <w:rsid w:val="00136E18"/>
    <w:rsid w:val="00137909"/>
    <w:rsid w:val="001425C9"/>
    <w:rsid w:val="0015501D"/>
    <w:rsid w:val="00162F02"/>
    <w:rsid w:val="0016790E"/>
    <w:rsid w:val="001707C1"/>
    <w:rsid w:val="001765E3"/>
    <w:rsid w:val="0018177A"/>
    <w:rsid w:val="001817C7"/>
    <w:rsid w:val="001842C9"/>
    <w:rsid w:val="00185150"/>
    <w:rsid w:val="00185269"/>
    <w:rsid w:val="00190F73"/>
    <w:rsid w:val="001A4B1E"/>
    <w:rsid w:val="001A7CBF"/>
    <w:rsid w:val="001B60F1"/>
    <w:rsid w:val="001C2C92"/>
    <w:rsid w:val="001C4729"/>
    <w:rsid w:val="001D3D3E"/>
    <w:rsid w:val="001D4381"/>
    <w:rsid w:val="001D60C1"/>
    <w:rsid w:val="001E2C1B"/>
    <w:rsid w:val="001E30A1"/>
    <w:rsid w:val="001E4C03"/>
    <w:rsid w:val="001F04D1"/>
    <w:rsid w:val="001F571D"/>
    <w:rsid w:val="001F6857"/>
    <w:rsid w:val="001F68AA"/>
    <w:rsid w:val="00206FD1"/>
    <w:rsid w:val="0021575B"/>
    <w:rsid w:val="00220735"/>
    <w:rsid w:val="002215BE"/>
    <w:rsid w:val="00223D6A"/>
    <w:rsid w:val="00226459"/>
    <w:rsid w:val="00230093"/>
    <w:rsid w:val="002311AA"/>
    <w:rsid w:val="0023141D"/>
    <w:rsid w:val="00231820"/>
    <w:rsid w:val="00231F6C"/>
    <w:rsid w:val="00232F8F"/>
    <w:rsid w:val="00235A2A"/>
    <w:rsid w:val="00241B7E"/>
    <w:rsid w:val="00247E56"/>
    <w:rsid w:val="0025079D"/>
    <w:rsid w:val="00250847"/>
    <w:rsid w:val="00261308"/>
    <w:rsid w:val="00266C64"/>
    <w:rsid w:val="00272BC8"/>
    <w:rsid w:val="00273E1B"/>
    <w:rsid w:val="00281FFC"/>
    <w:rsid w:val="00283E3E"/>
    <w:rsid w:val="0029024F"/>
    <w:rsid w:val="00294A5B"/>
    <w:rsid w:val="00294D1A"/>
    <w:rsid w:val="00297592"/>
    <w:rsid w:val="002A0901"/>
    <w:rsid w:val="002A0F6B"/>
    <w:rsid w:val="002A6BB6"/>
    <w:rsid w:val="002C34B9"/>
    <w:rsid w:val="002C3D4D"/>
    <w:rsid w:val="002C57C7"/>
    <w:rsid w:val="002C7C2F"/>
    <w:rsid w:val="002D177F"/>
    <w:rsid w:val="002E6EE1"/>
    <w:rsid w:val="002F34B4"/>
    <w:rsid w:val="00312B07"/>
    <w:rsid w:val="00315519"/>
    <w:rsid w:val="00315A57"/>
    <w:rsid w:val="003167B9"/>
    <w:rsid w:val="0032091F"/>
    <w:rsid w:val="00320CF2"/>
    <w:rsid w:val="00323E69"/>
    <w:rsid w:val="003260D1"/>
    <w:rsid w:val="00327DD8"/>
    <w:rsid w:val="00343FFD"/>
    <w:rsid w:val="00354291"/>
    <w:rsid w:val="00361766"/>
    <w:rsid w:val="00363BCD"/>
    <w:rsid w:val="003739FF"/>
    <w:rsid w:val="003763F6"/>
    <w:rsid w:val="0037720A"/>
    <w:rsid w:val="0038103D"/>
    <w:rsid w:val="00382A02"/>
    <w:rsid w:val="00392861"/>
    <w:rsid w:val="00392B23"/>
    <w:rsid w:val="00392EBB"/>
    <w:rsid w:val="00396158"/>
    <w:rsid w:val="003A08CD"/>
    <w:rsid w:val="003A1492"/>
    <w:rsid w:val="003A50EC"/>
    <w:rsid w:val="003A5203"/>
    <w:rsid w:val="003A5615"/>
    <w:rsid w:val="003A6EE6"/>
    <w:rsid w:val="003A7BD1"/>
    <w:rsid w:val="003A7F51"/>
    <w:rsid w:val="003B5A5D"/>
    <w:rsid w:val="003C076E"/>
    <w:rsid w:val="003D0DB6"/>
    <w:rsid w:val="003D16AB"/>
    <w:rsid w:val="003D5485"/>
    <w:rsid w:val="003E09FE"/>
    <w:rsid w:val="003E143C"/>
    <w:rsid w:val="003E3317"/>
    <w:rsid w:val="003E451B"/>
    <w:rsid w:val="003F6CFC"/>
    <w:rsid w:val="004029DF"/>
    <w:rsid w:val="00413FA6"/>
    <w:rsid w:val="00414E11"/>
    <w:rsid w:val="0041764E"/>
    <w:rsid w:val="00423BF9"/>
    <w:rsid w:val="004273DA"/>
    <w:rsid w:val="00432A2D"/>
    <w:rsid w:val="00433368"/>
    <w:rsid w:val="004412A8"/>
    <w:rsid w:val="004442DD"/>
    <w:rsid w:val="004447DF"/>
    <w:rsid w:val="004460F4"/>
    <w:rsid w:val="004518B0"/>
    <w:rsid w:val="004537A7"/>
    <w:rsid w:val="00454247"/>
    <w:rsid w:val="00460505"/>
    <w:rsid w:val="00462E84"/>
    <w:rsid w:val="0046552B"/>
    <w:rsid w:val="004778FE"/>
    <w:rsid w:val="00477E24"/>
    <w:rsid w:val="00481771"/>
    <w:rsid w:val="00482E22"/>
    <w:rsid w:val="00490898"/>
    <w:rsid w:val="00491E16"/>
    <w:rsid w:val="004965D5"/>
    <w:rsid w:val="004A0E70"/>
    <w:rsid w:val="004A4505"/>
    <w:rsid w:val="004A4A79"/>
    <w:rsid w:val="004A6F4A"/>
    <w:rsid w:val="004B5316"/>
    <w:rsid w:val="004B70E6"/>
    <w:rsid w:val="004C250D"/>
    <w:rsid w:val="004C7C45"/>
    <w:rsid w:val="004D1BFB"/>
    <w:rsid w:val="004E3B53"/>
    <w:rsid w:val="004E4288"/>
    <w:rsid w:val="004F147D"/>
    <w:rsid w:val="004F1850"/>
    <w:rsid w:val="004F3E09"/>
    <w:rsid w:val="004F57DA"/>
    <w:rsid w:val="004F6A72"/>
    <w:rsid w:val="004F71B8"/>
    <w:rsid w:val="00527235"/>
    <w:rsid w:val="0053013E"/>
    <w:rsid w:val="00530A7F"/>
    <w:rsid w:val="00531293"/>
    <w:rsid w:val="005312D9"/>
    <w:rsid w:val="00533158"/>
    <w:rsid w:val="005340BF"/>
    <w:rsid w:val="00535052"/>
    <w:rsid w:val="00547720"/>
    <w:rsid w:val="00550ABF"/>
    <w:rsid w:val="00556A5D"/>
    <w:rsid w:val="00565691"/>
    <w:rsid w:val="00570F44"/>
    <w:rsid w:val="00571661"/>
    <w:rsid w:val="00573062"/>
    <w:rsid w:val="00573F2A"/>
    <w:rsid w:val="0057686D"/>
    <w:rsid w:val="00582051"/>
    <w:rsid w:val="005829BC"/>
    <w:rsid w:val="00584DC2"/>
    <w:rsid w:val="005A7747"/>
    <w:rsid w:val="005B1B63"/>
    <w:rsid w:val="005B6811"/>
    <w:rsid w:val="005B7529"/>
    <w:rsid w:val="005C15E4"/>
    <w:rsid w:val="005C2B3D"/>
    <w:rsid w:val="005C5FE6"/>
    <w:rsid w:val="005D1F18"/>
    <w:rsid w:val="005E1110"/>
    <w:rsid w:val="005E43CA"/>
    <w:rsid w:val="005F1D7A"/>
    <w:rsid w:val="005F48FC"/>
    <w:rsid w:val="006003B1"/>
    <w:rsid w:val="00606523"/>
    <w:rsid w:val="00613697"/>
    <w:rsid w:val="00624886"/>
    <w:rsid w:val="00625731"/>
    <w:rsid w:val="00626039"/>
    <w:rsid w:val="00630241"/>
    <w:rsid w:val="00636676"/>
    <w:rsid w:val="00640F4F"/>
    <w:rsid w:val="00644785"/>
    <w:rsid w:val="006458FC"/>
    <w:rsid w:val="006504F8"/>
    <w:rsid w:val="00653BE4"/>
    <w:rsid w:val="00666F8E"/>
    <w:rsid w:val="00670EB9"/>
    <w:rsid w:val="006749C0"/>
    <w:rsid w:val="006915CA"/>
    <w:rsid w:val="00694269"/>
    <w:rsid w:val="00694CED"/>
    <w:rsid w:val="00695E88"/>
    <w:rsid w:val="00697C1E"/>
    <w:rsid w:val="00697FA4"/>
    <w:rsid w:val="006A01F4"/>
    <w:rsid w:val="006A052E"/>
    <w:rsid w:val="006A3C0D"/>
    <w:rsid w:val="006A3F86"/>
    <w:rsid w:val="006B0C11"/>
    <w:rsid w:val="006C0F3D"/>
    <w:rsid w:val="006D42CD"/>
    <w:rsid w:val="006D5D6F"/>
    <w:rsid w:val="006E325E"/>
    <w:rsid w:val="006E594C"/>
    <w:rsid w:val="006E65BA"/>
    <w:rsid w:val="006F2998"/>
    <w:rsid w:val="00700918"/>
    <w:rsid w:val="007029A3"/>
    <w:rsid w:val="0071462E"/>
    <w:rsid w:val="00715D54"/>
    <w:rsid w:val="007200E4"/>
    <w:rsid w:val="00720A84"/>
    <w:rsid w:val="00722786"/>
    <w:rsid w:val="007265DB"/>
    <w:rsid w:val="0073097F"/>
    <w:rsid w:val="0073149F"/>
    <w:rsid w:val="00733121"/>
    <w:rsid w:val="0073727B"/>
    <w:rsid w:val="0074017E"/>
    <w:rsid w:val="00740BD3"/>
    <w:rsid w:val="0075061C"/>
    <w:rsid w:val="007624C1"/>
    <w:rsid w:val="00767966"/>
    <w:rsid w:val="00767EFA"/>
    <w:rsid w:val="00771500"/>
    <w:rsid w:val="00776645"/>
    <w:rsid w:val="0078624E"/>
    <w:rsid w:val="00787516"/>
    <w:rsid w:val="00793E96"/>
    <w:rsid w:val="007B1DD1"/>
    <w:rsid w:val="007C11F1"/>
    <w:rsid w:val="007C25F6"/>
    <w:rsid w:val="007C4FFE"/>
    <w:rsid w:val="007C6D82"/>
    <w:rsid w:val="007D33A2"/>
    <w:rsid w:val="007D38D7"/>
    <w:rsid w:val="007E075B"/>
    <w:rsid w:val="007E524E"/>
    <w:rsid w:val="007F13DE"/>
    <w:rsid w:val="007F519E"/>
    <w:rsid w:val="00801A5B"/>
    <w:rsid w:val="0080322F"/>
    <w:rsid w:val="0080349A"/>
    <w:rsid w:val="00812419"/>
    <w:rsid w:val="00834677"/>
    <w:rsid w:val="0084244D"/>
    <w:rsid w:val="00842E1B"/>
    <w:rsid w:val="008512DA"/>
    <w:rsid w:val="00856C55"/>
    <w:rsid w:val="00862813"/>
    <w:rsid w:val="00865064"/>
    <w:rsid w:val="00870AD0"/>
    <w:rsid w:val="0087122A"/>
    <w:rsid w:val="00882F53"/>
    <w:rsid w:val="00883636"/>
    <w:rsid w:val="00885CF9"/>
    <w:rsid w:val="008948BA"/>
    <w:rsid w:val="008B2198"/>
    <w:rsid w:val="008B51C5"/>
    <w:rsid w:val="008C2A23"/>
    <w:rsid w:val="008C453E"/>
    <w:rsid w:val="008C4CC3"/>
    <w:rsid w:val="008D7BBC"/>
    <w:rsid w:val="008E041F"/>
    <w:rsid w:val="008E0927"/>
    <w:rsid w:val="008E2C1C"/>
    <w:rsid w:val="008E5037"/>
    <w:rsid w:val="008E6169"/>
    <w:rsid w:val="008E61B3"/>
    <w:rsid w:val="008F11B6"/>
    <w:rsid w:val="00900894"/>
    <w:rsid w:val="00902E38"/>
    <w:rsid w:val="009101DF"/>
    <w:rsid w:val="00910FF6"/>
    <w:rsid w:val="009114BA"/>
    <w:rsid w:val="0092410A"/>
    <w:rsid w:val="00924429"/>
    <w:rsid w:val="0092569C"/>
    <w:rsid w:val="00926608"/>
    <w:rsid w:val="00926ADB"/>
    <w:rsid w:val="00933FBB"/>
    <w:rsid w:val="009354E7"/>
    <w:rsid w:val="00935999"/>
    <w:rsid w:val="0094071E"/>
    <w:rsid w:val="00941114"/>
    <w:rsid w:val="00943164"/>
    <w:rsid w:val="00943BEA"/>
    <w:rsid w:val="009511F5"/>
    <w:rsid w:val="009558EA"/>
    <w:rsid w:val="00956A8D"/>
    <w:rsid w:val="00965108"/>
    <w:rsid w:val="009714D5"/>
    <w:rsid w:val="009716EA"/>
    <w:rsid w:val="0098270C"/>
    <w:rsid w:val="0098396A"/>
    <w:rsid w:val="009921C9"/>
    <w:rsid w:val="009930C3"/>
    <w:rsid w:val="0099523B"/>
    <w:rsid w:val="009A43AE"/>
    <w:rsid w:val="009A5748"/>
    <w:rsid w:val="009B01A5"/>
    <w:rsid w:val="009B05F2"/>
    <w:rsid w:val="009B1A68"/>
    <w:rsid w:val="009D0F2E"/>
    <w:rsid w:val="009D1065"/>
    <w:rsid w:val="009D46CF"/>
    <w:rsid w:val="009E3458"/>
    <w:rsid w:val="009E7E90"/>
    <w:rsid w:val="009F0A03"/>
    <w:rsid w:val="009F0A4C"/>
    <w:rsid w:val="009F0E6D"/>
    <w:rsid w:val="00A03FEE"/>
    <w:rsid w:val="00A04FF4"/>
    <w:rsid w:val="00A078DA"/>
    <w:rsid w:val="00A1060C"/>
    <w:rsid w:val="00A10FC2"/>
    <w:rsid w:val="00A13E56"/>
    <w:rsid w:val="00A26FFE"/>
    <w:rsid w:val="00A46D22"/>
    <w:rsid w:val="00A47800"/>
    <w:rsid w:val="00A6102E"/>
    <w:rsid w:val="00A77B51"/>
    <w:rsid w:val="00A81EEC"/>
    <w:rsid w:val="00A82C9F"/>
    <w:rsid w:val="00A92A6C"/>
    <w:rsid w:val="00A93FDD"/>
    <w:rsid w:val="00AA32E5"/>
    <w:rsid w:val="00AA66B7"/>
    <w:rsid w:val="00AB2739"/>
    <w:rsid w:val="00AB4985"/>
    <w:rsid w:val="00AC1774"/>
    <w:rsid w:val="00AC7A77"/>
    <w:rsid w:val="00AD5320"/>
    <w:rsid w:val="00AE0870"/>
    <w:rsid w:val="00AE3B7E"/>
    <w:rsid w:val="00AE693A"/>
    <w:rsid w:val="00AF0DBD"/>
    <w:rsid w:val="00AF3226"/>
    <w:rsid w:val="00AF32B0"/>
    <w:rsid w:val="00AF5D85"/>
    <w:rsid w:val="00B01DC5"/>
    <w:rsid w:val="00B0224E"/>
    <w:rsid w:val="00B05C38"/>
    <w:rsid w:val="00B07D71"/>
    <w:rsid w:val="00B117D3"/>
    <w:rsid w:val="00B14A0D"/>
    <w:rsid w:val="00B2082B"/>
    <w:rsid w:val="00B23CA6"/>
    <w:rsid w:val="00B334C5"/>
    <w:rsid w:val="00B418FB"/>
    <w:rsid w:val="00B4357D"/>
    <w:rsid w:val="00B506DE"/>
    <w:rsid w:val="00B51DCF"/>
    <w:rsid w:val="00B6772E"/>
    <w:rsid w:val="00B728E6"/>
    <w:rsid w:val="00B76382"/>
    <w:rsid w:val="00B824E4"/>
    <w:rsid w:val="00B96724"/>
    <w:rsid w:val="00B97511"/>
    <w:rsid w:val="00BA5007"/>
    <w:rsid w:val="00BA717B"/>
    <w:rsid w:val="00BB0C24"/>
    <w:rsid w:val="00BB18BE"/>
    <w:rsid w:val="00BB4C70"/>
    <w:rsid w:val="00BC2A2C"/>
    <w:rsid w:val="00BC448E"/>
    <w:rsid w:val="00BD0075"/>
    <w:rsid w:val="00BD202D"/>
    <w:rsid w:val="00BD5852"/>
    <w:rsid w:val="00BD7E76"/>
    <w:rsid w:val="00BE4F8B"/>
    <w:rsid w:val="00BE56DA"/>
    <w:rsid w:val="00BE7F2D"/>
    <w:rsid w:val="00BF0C25"/>
    <w:rsid w:val="00BF3F79"/>
    <w:rsid w:val="00BF4879"/>
    <w:rsid w:val="00BF700A"/>
    <w:rsid w:val="00BF7A07"/>
    <w:rsid w:val="00C0365E"/>
    <w:rsid w:val="00C0703D"/>
    <w:rsid w:val="00C07F76"/>
    <w:rsid w:val="00C11FF6"/>
    <w:rsid w:val="00C166CE"/>
    <w:rsid w:val="00C1739B"/>
    <w:rsid w:val="00C20B63"/>
    <w:rsid w:val="00C22CD0"/>
    <w:rsid w:val="00C255BF"/>
    <w:rsid w:val="00C325F7"/>
    <w:rsid w:val="00C4435A"/>
    <w:rsid w:val="00C47C2D"/>
    <w:rsid w:val="00C56C76"/>
    <w:rsid w:val="00C574B6"/>
    <w:rsid w:val="00C57DC7"/>
    <w:rsid w:val="00C60A20"/>
    <w:rsid w:val="00C60CD3"/>
    <w:rsid w:val="00C62AAD"/>
    <w:rsid w:val="00C646BC"/>
    <w:rsid w:val="00C66ED0"/>
    <w:rsid w:val="00C71DE2"/>
    <w:rsid w:val="00C73C3F"/>
    <w:rsid w:val="00C74CFB"/>
    <w:rsid w:val="00C7516D"/>
    <w:rsid w:val="00C77608"/>
    <w:rsid w:val="00C8620C"/>
    <w:rsid w:val="00C95552"/>
    <w:rsid w:val="00C9601B"/>
    <w:rsid w:val="00CA6B28"/>
    <w:rsid w:val="00CA6B58"/>
    <w:rsid w:val="00CB4194"/>
    <w:rsid w:val="00CB7FE7"/>
    <w:rsid w:val="00CC6C68"/>
    <w:rsid w:val="00CD1190"/>
    <w:rsid w:val="00CD36D6"/>
    <w:rsid w:val="00CD4D1E"/>
    <w:rsid w:val="00CE7418"/>
    <w:rsid w:val="00CE7C3D"/>
    <w:rsid w:val="00D02093"/>
    <w:rsid w:val="00D038BF"/>
    <w:rsid w:val="00D1057F"/>
    <w:rsid w:val="00D1383F"/>
    <w:rsid w:val="00D15CB8"/>
    <w:rsid w:val="00D2186C"/>
    <w:rsid w:val="00D24095"/>
    <w:rsid w:val="00D2682B"/>
    <w:rsid w:val="00D26B8D"/>
    <w:rsid w:val="00D275AC"/>
    <w:rsid w:val="00D277F2"/>
    <w:rsid w:val="00D450D1"/>
    <w:rsid w:val="00D460CE"/>
    <w:rsid w:val="00D47A87"/>
    <w:rsid w:val="00D51A04"/>
    <w:rsid w:val="00D51B51"/>
    <w:rsid w:val="00D53511"/>
    <w:rsid w:val="00D56DAF"/>
    <w:rsid w:val="00D602B4"/>
    <w:rsid w:val="00D6142A"/>
    <w:rsid w:val="00D65EA6"/>
    <w:rsid w:val="00D67106"/>
    <w:rsid w:val="00D71B3F"/>
    <w:rsid w:val="00D73067"/>
    <w:rsid w:val="00D80F47"/>
    <w:rsid w:val="00D91D88"/>
    <w:rsid w:val="00D938B3"/>
    <w:rsid w:val="00DA22AE"/>
    <w:rsid w:val="00DA46BA"/>
    <w:rsid w:val="00DB5F30"/>
    <w:rsid w:val="00DC495B"/>
    <w:rsid w:val="00DD0368"/>
    <w:rsid w:val="00DD2A8F"/>
    <w:rsid w:val="00DD52DA"/>
    <w:rsid w:val="00DE062D"/>
    <w:rsid w:val="00DE1B95"/>
    <w:rsid w:val="00DE3FF7"/>
    <w:rsid w:val="00DE46DA"/>
    <w:rsid w:val="00DF6117"/>
    <w:rsid w:val="00DF6517"/>
    <w:rsid w:val="00E006ED"/>
    <w:rsid w:val="00E1221D"/>
    <w:rsid w:val="00E132E0"/>
    <w:rsid w:val="00E14E5C"/>
    <w:rsid w:val="00E16A91"/>
    <w:rsid w:val="00E175DC"/>
    <w:rsid w:val="00E25171"/>
    <w:rsid w:val="00E264DB"/>
    <w:rsid w:val="00E26B41"/>
    <w:rsid w:val="00E27621"/>
    <w:rsid w:val="00E32B81"/>
    <w:rsid w:val="00E33BB9"/>
    <w:rsid w:val="00E35F49"/>
    <w:rsid w:val="00E3746E"/>
    <w:rsid w:val="00E43C0C"/>
    <w:rsid w:val="00E453F9"/>
    <w:rsid w:val="00E45643"/>
    <w:rsid w:val="00E50310"/>
    <w:rsid w:val="00E54F80"/>
    <w:rsid w:val="00E62CDA"/>
    <w:rsid w:val="00E663EB"/>
    <w:rsid w:val="00E66C3F"/>
    <w:rsid w:val="00E6762B"/>
    <w:rsid w:val="00E8286D"/>
    <w:rsid w:val="00E85393"/>
    <w:rsid w:val="00E853A3"/>
    <w:rsid w:val="00E90B1F"/>
    <w:rsid w:val="00E93812"/>
    <w:rsid w:val="00E95D28"/>
    <w:rsid w:val="00E96B71"/>
    <w:rsid w:val="00EA1D18"/>
    <w:rsid w:val="00EA7984"/>
    <w:rsid w:val="00EB15E3"/>
    <w:rsid w:val="00EB1A8A"/>
    <w:rsid w:val="00EB26B9"/>
    <w:rsid w:val="00EB3D10"/>
    <w:rsid w:val="00EC2012"/>
    <w:rsid w:val="00EC47E8"/>
    <w:rsid w:val="00EC5CC4"/>
    <w:rsid w:val="00ED0892"/>
    <w:rsid w:val="00ED52A0"/>
    <w:rsid w:val="00EE1907"/>
    <w:rsid w:val="00EE3586"/>
    <w:rsid w:val="00EE4836"/>
    <w:rsid w:val="00EE76A1"/>
    <w:rsid w:val="00EF257C"/>
    <w:rsid w:val="00EF4836"/>
    <w:rsid w:val="00F150DA"/>
    <w:rsid w:val="00F16EC2"/>
    <w:rsid w:val="00F21391"/>
    <w:rsid w:val="00F2260F"/>
    <w:rsid w:val="00F26947"/>
    <w:rsid w:val="00F30D2D"/>
    <w:rsid w:val="00F3485A"/>
    <w:rsid w:val="00F4158F"/>
    <w:rsid w:val="00F42923"/>
    <w:rsid w:val="00F43245"/>
    <w:rsid w:val="00F43779"/>
    <w:rsid w:val="00F4525A"/>
    <w:rsid w:val="00F46428"/>
    <w:rsid w:val="00F50B6E"/>
    <w:rsid w:val="00F516DF"/>
    <w:rsid w:val="00F52756"/>
    <w:rsid w:val="00F5338F"/>
    <w:rsid w:val="00F539F3"/>
    <w:rsid w:val="00F573A8"/>
    <w:rsid w:val="00F614FE"/>
    <w:rsid w:val="00F63777"/>
    <w:rsid w:val="00F708D1"/>
    <w:rsid w:val="00F714ED"/>
    <w:rsid w:val="00F72970"/>
    <w:rsid w:val="00F74BEE"/>
    <w:rsid w:val="00F750BC"/>
    <w:rsid w:val="00F77636"/>
    <w:rsid w:val="00F861DC"/>
    <w:rsid w:val="00F870D0"/>
    <w:rsid w:val="00F87682"/>
    <w:rsid w:val="00F92266"/>
    <w:rsid w:val="00F93A31"/>
    <w:rsid w:val="00F94815"/>
    <w:rsid w:val="00F94DCD"/>
    <w:rsid w:val="00FA174B"/>
    <w:rsid w:val="00FA30D7"/>
    <w:rsid w:val="00FA3EAC"/>
    <w:rsid w:val="00FA5E45"/>
    <w:rsid w:val="00FB37E2"/>
    <w:rsid w:val="00FC39F0"/>
    <w:rsid w:val="00FC3CE0"/>
    <w:rsid w:val="00FC611B"/>
    <w:rsid w:val="00FD3594"/>
    <w:rsid w:val="00FE08C8"/>
    <w:rsid w:val="00FF0A78"/>
    <w:rsid w:val="00FF115F"/>
    <w:rsid w:val="00FF42B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DB8F6C-03CA-4C7C-B4A5-2F1A2EF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customStyle="1" w:styleId="Default">
    <w:name w:val="Default"/>
    <w:pPr>
      <w:autoSpaceDE w:val="0"/>
      <w:autoSpaceDN w:val="0"/>
      <w:adjustRightInd w:val="0"/>
    </w:pPr>
    <w:rPr>
      <w:lang w:val="fr-FR" w:eastAsia="fr-FR"/>
    </w:rPr>
  </w:style>
  <w:style w:type="paragraph" w:customStyle="1" w:styleId="BodyTextIndent2">
    <w:name w:val="Body Text Indent 2"/>
    <w:basedOn w:val="Normal"/>
    <w:pPr>
      <w:ind w:left="1701" w:firstLine="567"/>
      <w:jc w:val="both"/>
    </w:pPr>
    <w:rPr>
      <w:szCs w:val="20"/>
    </w:rPr>
  </w:style>
  <w:style w:type="paragraph" w:customStyle="1" w:styleId="Projet">
    <w:name w:val="Projet"/>
    <w:basedOn w:val="Normal"/>
    <w:pPr>
      <w:ind w:left="1701"/>
      <w:jc w:val="both"/>
    </w:pPr>
    <w:rPr>
      <w:b/>
      <w:sz w:val="28"/>
      <w:szCs w:val="20"/>
    </w:rPr>
  </w:style>
  <w:style w:type="character" w:styleId="Numrodepage">
    <w:name w:val="page number"/>
    <w:basedOn w:val="Policepardfaut"/>
    <w:rsid w:val="003A7BD1"/>
  </w:style>
  <w:style w:type="paragraph" w:styleId="Textedebulles">
    <w:name w:val="Balloon Text"/>
    <w:basedOn w:val="Normal"/>
    <w:semiHidden/>
    <w:rsid w:val="00FF42B0"/>
    <w:rPr>
      <w:rFonts w:ascii="Tahoma" w:hAnsi="Tahoma" w:cs="Tahoma"/>
      <w:sz w:val="16"/>
      <w:szCs w:val="16"/>
    </w:rPr>
  </w:style>
  <w:style w:type="table" w:styleId="Grilledutableau">
    <w:name w:val="Table Grid"/>
    <w:basedOn w:val="TableauNormal"/>
    <w:rsid w:val="00C6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2091F"/>
    <w:rPr>
      <w:b/>
      <w:bCs/>
      <w:lang w:val="fr-CH"/>
    </w:rPr>
  </w:style>
  <w:style w:type="character" w:customStyle="1" w:styleId="CorpsdetexteCar">
    <w:name w:val="Corps de texte Car"/>
    <w:basedOn w:val="Policepardfaut"/>
    <w:link w:val="Corpsdetexte"/>
    <w:rsid w:val="0032091F"/>
    <w:rPr>
      <w:b/>
      <w:bCs/>
      <w:sz w:val="24"/>
      <w:szCs w:val="24"/>
      <w:lang w:val="fr-CH" w:eastAsia="fr-FR"/>
    </w:rPr>
  </w:style>
  <w:style w:type="paragraph" w:styleId="Paragraphedeliste">
    <w:name w:val="List Paragraph"/>
    <w:basedOn w:val="Normal"/>
    <w:uiPriority w:val="34"/>
    <w:qFormat/>
    <w:rsid w:val="006D5D6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6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841A0B-6DC6-4C0B-9BA8-A5FED5B09B7A}"/>
</file>

<file path=customXml/itemProps2.xml><?xml version="1.0" encoding="utf-8"?>
<ds:datastoreItem xmlns:ds="http://schemas.openxmlformats.org/officeDocument/2006/customXml" ds:itemID="{0699C1E7-BEE7-49CC-A8C8-A9AEACE1452F}"/>
</file>

<file path=customXml/itemProps3.xml><?xml version="1.0" encoding="utf-8"?>
<ds:datastoreItem xmlns:ds="http://schemas.openxmlformats.org/officeDocument/2006/customXml" ds:itemID="{691CF51F-CA5D-4113-9B22-8591ED2B7B31}"/>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2601</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N° 4938</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Guezennec Caroline</dc:creator>
  <cp:keywords/>
  <cp:lastModifiedBy>SYSTEM</cp:lastModifiedBy>
  <cp:revision>2</cp:revision>
  <cp:lastPrinted>2010-10-27T12:43:00Z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