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10" w:rsidRPr="00775D10" w:rsidRDefault="00775D10" w:rsidP="00775D10">
      <w:pPr>
        <w:jc w:val="both"/>
        <w:rPr>
          <w:rFonts w:ascii="Arial" w:hAnsi="Arial" w:cs="Arial"/>
          <w:b/>
          <w:sz w:val="22"/>
          <w:szCs w:val="22"/>
          <w:u w:val="single"/>
        </w:rPr>
      </w:pPr>
      <w:bookmarkStart w:id="0" w:name="_GoBack"/>
      <w:bookmarkEnd w:id="0"/>
      <w:r w:rsidRPr="00775D10">
        <w:rPr>
          <w:rFonts w:ascii="Arial" w:hAnsi="Arial" w:cs="Arial"/>
          <w:b/>
          <w:sz w:val="22"/>
          <w:szCs w:val="22"/>
          <w:u w:val="single"/>
        </w:rPr>
        <w:t>6290 : RESUME</w:t>
      </w:r>
    </w:p>
    <w:p w:rsidR="00775D10" w:rsidRDefault="00775D10" w:rsidP="00775D10">
      <w:pPr>
        <w:jc w:val="both"/>
        <w:rPr>
          <w:rFonts w:ascii="Arial" w:hAnsi="Arial" w:cs="Arial"/>
          <w:sz w:val="22"/>
          <w:szCs w:val="22"/>
        </w:rPr>
      </w:pPr>
    </w:p>
    <w:p w:rsidR="00775D10" w:rsidRPr="00334490" w:rsidRDefault="00775D10" w:rsidP="00775D10">
      <w:pPr>
        <w:jc w:val="both"/>
        <w:rPr>
          <w:rFonts w:ascii="Arial" w:hAnsi="Arial" w:cs="Arial"/>
          <w:color w:val="000000"/>
          <w:sz w:val="22"/>
          <w:szCs w:val="22"/>
        </w:rPr>
      </w:pPr>
      <w:r>
        <w:rPr>
          <w:rFonts w:ascii="Arial" w:hAnsi="Arial" w:cs="Arial"/>
          <w:sz w:val="22"/>
          <w:szCs w:val="22"/>
        </w:rPr>
        <w:t>L</w:t>
      </w:r>
      <w:r w:rsidRPr="00334490">
        <w:rPr>
          <w:rFonts w:ascii="Arial" w:hAnsi="Arial" w:cs="Arial"/>
          <w:sz w:val="22"/>
          <w:szCs w:val="22"/>
        </w:rPr>
        <w:t>e projet de loi a pour objet d’</w:t>
      </w:r>
      <w:r w:rsidRPr="00334490">
        <w:rPr>
          <w:rFonts w:ascii="Arial" w:hAnsi="Arial" w:cs="Arial"/>
          <w:color w:val="000000"/>
          <w:sz w:val="22"/>
          <w:szCs w:val="22"/>
        </w:rPr>
        <w:t>approuver le Protocole portant sur les questions spécifiques au matériel roulant ferroviaire à la Convention relative aux garanties internationales portant sur des matériels d’équipement mobiles. Ce protocole a été signé à Luxembourg le 23 février 2007.</w:t>
      </w:r>
    </w:p>
    <w:p w:rsidR="00775D10" w:rsidRPr="00334490" w:rsidRDefault="00775D10" w:rsidP="00775D10">
      <w:pPr>
        <w:pStyle w:val="Default"/>
        <w:rPr>
          <w:rFonts w:ascii="Arial" w:hAnsi="Arial" w:cs="Arial"/>
          <w:sz w:val="22"/>
          <w:szCs w:val="22"/>
        </w:rPr>
      </w:pPr>
    </w:p>
    <w:p w:rsidR="00775D10" w:rsidRPr="00334490" w:rsidRDefault="00775D10" w:rsidP="00775D10">
      <w:pPr>
        <w:pStyle w:val="Pa8"/>
        <w:jc w:val="both"/>
        <w:rPr>
          <w:rFonts w:ascii="Arial" w:hAnsi="Arial" w:cs="Arial"/>
          <w:color w:val="000000"/>
          <w:sz w:val="22"/>
          <w:szCs w:val="22"/>
        </w:rPr>
      </w:pPr>
      <w:r w:rsidRPr="00334490">
        <w:rPr>
          <w:rFonts w:ascii="Arial" w:hAnsi="Arial" w:cs="Arial"/>
          <w:color w:val="000000"/>
          <w:sz w:val="22"/>
          <w:szCs w:val="22"/>
        </w:rPr>
        <w:t xml:space="preserve">Le Protocole de Luxembourg s’inscrit dans le cadre de la Convention du Cap du 16 novembre 2001 relative aux garanties internationales portant sur des matériels d’équipement mobiles. Le 16 novembre 2001, les Etats parties à la Convention du Cap avaient déjà adopté un premier protocole relatif aux questions spécifiques portant sur des matériels d’équipement aéronautiques. La Convention du Cap, ensemble avec le premier protocole, </w:t>
      </w:r>
      <w:r>
        <w:rPr>
          <w:rFonts w:ascii="Arial" w:hAnsi="Arial" w:cs="Arial"/>
          <w:color w:val="000000"/>
          <w:sz w:val="22"/>
          <w:szCs w:val="22"/>
        </w:rPr>
        <w:t>a été</w:t>
      </w:r>
      <w:r w:rsidRPr="00334490">
        <w:rPr>
          <w:rFonts w:ascii="Arial" w:hAnsi="Arial" w:cs="Arial"/>
          <w:color w:val="000000"/>
          <w:sz w:val="22"/>
          <w:szCs w:val="22"/>
        </w:rPr>
        <w:t xml:space="preserve"> approuvée par la loi du 28 mai 2008 portant approbation de la Convention du Cap du 16 novembre 2001 relative aux garanties internationales portant sur des matériels d’équipement mobiles et de son Protocole portant sur les questions spécifiques aux matériels aéronautiques.</w:t>
      </w:r>
    </w:p>
    <w:p w:rsidR="00775D10" w:rsidRPr="00334490" w:rsidRDefault="00775D10" w:rsidP="00775D10">
      <w:pPr>
        <w:pStyle w:val="Default"/>
        <w:rPr>
          <w:rFonts w:ascii="Arial" w:hAnsi="Arial" w:cs="Arial"/>
          <w:sz w:val="22"/>
          <w:szCs w:val="22"/>
        </w:rPr>
      </w:pPr>
    </w:p>
    <w:p w:rsidR="00775D10" w:rsidRPr="00334490" w:rsidRDefault="00775D10" w:rsidP="00775D10">
      <w:pPr>
        <w:pStyle w:val="Pa8"/>
        <w:jc w:val="both"/>
        <w:rPr>
          <w:rFonts w:ascii="Arial" w:hAnsi="Arial" w:cs="Arial"/>
          <w:color w:val="000000"/>
          <w:sz w:val="22"/>
          <w:szCs w:val="22"/>
        </w:rPr>
      </w:pPr>
      <w:r w:rsidRPr="00334490">
        <w:rPr>
          <w:rFonts w:ascii="Arial" w:hAnsi="Arial" w:cs="Arial"/>
          <w:color w:val="000000"/>
          <w:sz w:val="22"/>
          <w:szCs w:val="22"/>
        </w:rPr>
        <w:t xml:space="preserve">Le principal objectif de la Convention du Cap </w:t>
      </w:r>
      <w:r>
        <w:rPr>
          <w:rFonts w:ascii="Arial" w:hAnsi="Arial" w:cs="Arial"/>
          <w:color w:val="000000"/>
          <w:sz w:val="22"/>
          <w:szCs w:val="22"/>
        </w:rPr>
        <w:t>est</w:t>
      </w:r>
      <w:r w:rsidRPr="00334490">
        <w:rPr>
          <w:rFonts w:ascii="Arial" w:hAnsi="Arial" w:cs="Arial"/>
          <w:color w:val="000000"/>
          <w:sz w:val="22"/>
          <w:szCs w:val="22"/>
        </w:rPr>
        <w:t xml:space="preserve"> de poser des règles efficaces pour faciliter le financement des matériels d’équipement mobiles, en fixant un cadre juridique en faveur des créanciers ayant financé ces équipements. A cet effet, la Convention du Cap cré</w:t>
      </w:r>
      <w:r>
        <w:rPr>
          <w:rFonts w:ascii="Arial" w:hAnsi="Arial" w:cs="Arial"/>
          <w:color w:val="000000"/>
          <w:sz w:val="22"/>
          <w:szCs w:val="22"/>
        </w:rPr>
        <w:t>e</w:t>
      </w:r>
      <w:r w:rsidRPr="00334490">
        <w:rPr>
          <w:rFonts w:ascii="Arial" w:hAnsi="Arial" w:cs="Arial"/>
          <w:color w:val="000000"/>
          <w:sz w:val="22"/>
          <w:szCs w:val="22"/>
        </w:rPr>
        <w:t xml:space="preserve"> une garantie internationale reconnue par toutes les parties signataires, conférant aux créanciers inscrits sur le matériel un droit de préférence. Les garanties sont inscrites dans un registre spécifique, accessible par internet. En créant cette nouvelle garantie internationale, la Convention du Cap confère davantage de sécurité juridique aux investisseurs, lesquels, auparavant, ne pouvaient être sûrs de la reconnaissance, par les systèmes juridiques nationaux des différents pays, de leurs garanties sur un matériel coûteux qui, par sa nature, traverse les frontières nationales. </w:t>
      </w:r>
    </w:p>
    <w:p w:rsidR="00775D10" w:rsidRPr="00334490" w:rsidRDefault="00775D10" w:rsidP="00775D10">
      <w:pPr>
        <w:pStyle w:val="Pa8"/>
        <w:jc w:val="both"/>
        <w:rPr>
          <w:rFonts w:ascii="Arial" w:hAnsi="Arial" w:cs="Arial"/>
          <w:color w:val="000000"/>
          <w:sz w:val="22"/>
          <w:szCs w:val="22"/>
        </w:rPr>
      </w:pPr>
    </w:p>
    <w:p w:rsidR="00775D10" w:rsidRDefault="00775D10" w:rsidP="00775D10">
      <w:pPr>
        <w:pStyle w:val="Pa8"/>
        <w:jc w:val="both"/>
        <w:rPr>
          <w:rFonts w:ascii="Arial" w:hAnsi="Arial" w:cs="Arial"/>
          <w:color w:val="000000"/>
          <w:sz w:val="22"/>
          <w:szCs w:val="22"/>
        </w:rPr>
      </w:pPr>
      <w:r w:rsidRPr="00334490">
        <w:rPr>
          <w:rFonts w:ascii="Arial" w:hAnsi="Arial" w:cs="Arial"/>
          <w:color w:val="000000"/>
          <w:sz w:val="22"/>
          <w:szCs w:val="22"/>
        </w:rPr>
        <w:t xml:space="preserve">Le Protocole de Luxembourg étend le champ d’application de la Convention du Cap </w:t>
      </w:r>
      <w:r>
        <w:rPr>
          <w:rFonts w:ascii="Arial" w:hAnsi="Arial" w:cs="Arial"/>
          <w:color w:val="000000"/>
          <w:sz w:val="22"/>
          <w:szCs w:val="22"/>
        </w:rPr>
        <w:t>aux</w:t>
      </w:r>
      <w:r w:rsidRPr="00334490">
        <w:rPr>
          <w:rFonts w:ascii="Arial" w:hAnsi="Arial" w:cs="Arial"/>
          <w:color w:val="000000"/>
          <w:sz w:val="22"/>
          <w:szCs w:val="22"/>
        </w:rPr>
        <w:t xml:space="preserve"> matériel</w:t>
      </w:r>
      <w:r>
        <w:rPr>
          <w:rFonts w:ascii="Arial" w:hAnsi="Arial" w:cs="Arial"/>
          <w:color w:val="000000"/>
          <w:sz w:val="22"/>
          <w:szCs w:val="22"/>
        </w:rPr>
        <w:t>s</w:t>
      </w:r>
      <w:r w:rsidRPr="00334490">
        <w:rPr>
          <w:rFonts w:ascii="Arial" w:hAnsi="Arial" w:cs="Arial"/>
          <w:color w:val="000000"/>
          <w:sz w:val="22"/>
          <w:szCs w:val="22"/>
        </w:rPr>
        <w:t xml:space="preserve"> roulant</w:t>
      </w:r>
      <w:r>
        <w:rPr>
          <w:rFonts w:ascii="Arial" w:hAnsi="Arial" w:cs="Arial"/>
          <w:color w:val="000000"/>
          <w:sz w:val="22"/>
          <w:szCs w:val="22"/>
        </w:rPr>
        <w:t>s</w:t>
      </w:r>
      <w:r w:rsidRPr="00334490">
        <w:rPr>
          <w:rFonts w:ascii="Arial" w:hAnsi="Arial" w:cs="Arial"/>
          <w:color w:val="000000"/>
          <w:sz w:val="22"/>
          <w:szCs w:val="22"/>
        </w:rPr>
        <w:t xml:space="preserve"> ferroviaire</w:t>
      </w:r>
      <w:r>
        <w:rPr>
          <w:rFonts w:ascii="Arial" w:hAnsi="Arial" w:cs="Arial"/>
          <w:color w:val="000000"/>
          <w:sz w:val="22"/>
          <w:szCs w:val="22"/>
        </w:rPr>
        <w:t>s</w:t>
      </w:r>
      <w:r w:rsidRPr="00334490">
        <w:rPr>
          <w:rFonts w:ascii="Arial" w:hAnsi="Arial" w:cs="Arial"/>
          <w:color w:val="000000"/>
          <w:sz w:val="22"/>
          <w:szCs w:val="22"/>
        </w:rPr>
        <w:t xml:space="preserve"> et à leurs accessoires. </w:t>
      </w:r>
    </w:p>
    <w:p w:rsidR="00775D10" w:rsidRPr="00CE081B" w:rsidRDefault="00775D10" w:rsidP="00775D10">
      <w:pPr>
        <w:pStyle w:val="Default"/>
      </w:pPr>
    </w:p>
    <w:p w:rsidR="00775D10" w:rsidRPr="00AE3797" w:rsidRDefault="00775D10" w:rsidP="00775D10">
      <w:pPr>
        <w:pStyle w:val="Pa8"/>
        <w:jc w:val="both"/>
        <w:rPr>
          <w:rFonts w:ascii="Arial" w:hAnsi="Arial" w:cs="Arial"/>
          <w:color w:val="000000"/>
          <w:sz w:val="22"/>
          <w:szCs w:val="22"/>
        </w:rPr>
      </w:pPr>
      <w:r w:rsidRPr="00334490">
        <w:rPr>
          <w:rFonts w:ascii="Arial" w:hAnsi="Arial" w:cs="Arial"/>
          <w:color w:val="000000"/>
          <w:sz w:val="22"/>
          <w:szCs w:val="22"/>
        </w:rPr>
        <w:t xml:space="preserve">La pierre angulaire du système de garanties internationales mis en place par la Convention du Cap et par le Protocole de Luxembourg consiste dans la création d’un registre mondial des actifs ferroviaires sur lequel les garanties sont inscrites et qui assure leur publicité à l’égard des tiers. Les règles relatives à la constitution, l’inscription et l’exécution des garanties internationales sont inscrites dans la Convention du Cap et précisées dans le Protocole de Luxembourg. En ce qui concerne l’exécution des garanties internationales, le Protocole de Luxembourg déroge à la Convention du Cap, notamment en accordant au créancier le droit de faire enlever et d’exporter le matériel grevé de garantie, si le débiteur défaillant y avait donné son accord. Une autre dérogation importante par rapport aux règles de la Convention du Cap consiste dans l’exception de service public. Si, en effet, en cas de défaillance du débiteur, le matériel grevé de garantie est affecté au service public, le Protocole met en œuvre une série de règles protectrices destinées à maintenir le service </w:t>
      </w:r>
      <w:r w:rsidRPr="00AE3797">
        <w:rPr>
          <w:rFonts w:ascii="Arial" w:hAnsi="Arial" w:cs="Arial"/>
          <w:color w:val="000000"/>
          <w:sz w:val="22"/>
          <w:szCs w:val="22"/>
        </w:rPr>
        <w:t>public indispensable.</w:t>
      </w:r>
    </w:p>
    <w:p w:rsidR="001832DD" w:rsidRPr="00775D10" w:rsidRDefault="001832DD">
      <w:pPr>
        <w:rPr>
          <w:lang w:val="fr-LU"/>
        </w:rPr>
      </w:pPr>
    </w:p>
    <w:sectPr w:rsidR="001832DD" w:rsidRPr="00775D10"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D10"/>
    <w:rsid w:val="001832DD"/>
    <w:rsid w:val="002E1D07"/>
    <w:rsid w:val="00775D10"/>
    <w:rsid w:val="00AC04C8"/>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DD1B6B-8E42-4DDC-8C2A-2FC07C2C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D10"/>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customStyle="1" w:styleId="Default">
    <w:name w:val="Default"/>
    <w:rsid w:val="00775D10"/>
    <w:pPr>
      <w:autoSpaceDE w:val="0"/>
      <w:autoSpaceDN w:val="0"/>
      <w:adjustRightInd w:val="0"/>
    </w:pPr>
    <w:rPr>
      <w:rFonts w:ascii="Swis721 BT" w:hAnsi="Swis721 BT" w:cs="Swis721 BT"/>
      <w:color w:val="000000"/>
      <w:sz w:val="24"/>
      <w:szCs w:val="24"/>
    </w:rPr>
  </w:style>
  <w:style w:type="paragraph" w:customStyle="1" w:styleId="Pa8">
    <w:name w:val="Pa8"/>
    <w:basedOn w:val="Default"/>
    <w:next w:val="Default"/>
    <w:uiPriority w:val="99"/>
    <w:rsid w:val="00775D10"/>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95D7FE8-EA17-4EB0-9780-755D7E697763}"/>
</file>

<file path=customXml/itemProps2.xml><?xml version="1.0" encoding="utf-8"?>
<ds:datastoreItem xmlns:ds="http://schemas.openxmlformats.org/officeDocument/2006/customXml" ds:itemID="{EDED7FF4-157A-4C92-9AB2-4D2A7124C1B2}"/>
</file>

<file path=customXml/itemProps3.xml><?xml version="1.0" encoding="utf-8"?>
<ds:datastoreItem xmlns:ds="http://schemas.openxmlformats.org/officeDocument/2006/customXml" ds:itemID="{3BCF8F2A-C827-4EF4-B232-58B01A22C80D}"/>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2640</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