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89" w:rsidRPr="00BF345C" w:rsidRDefault="00BE4F89" w:rsidP="00BE4F89">
      <w:pPr>
        <w:jc w:val="center"/>
        <w:rPr>
          <w:rFonts w:ascii="Arial" w:hAnsi="Arial" w:cs="Arial"/>
          <w:b/>
        </w:rPr>
      </w:pPr>
      <w:bookmarkStart w:id="0" w:name="_GoBack"/>
      <w:bookmarkEnd w:id="0"/>
      <w:r w:rsidRPr="00BF345C">
        <w:rPr>
          <w:rFonts w:ascii="Arial" w:hAnsi="Arial" w:cs="Arial"/>
          <w:b/>
        </w:rPr>
        <w:t>N</w:t>
      </w:r>
      <w:r>
        <w:rPr>
          <w:rFonts w:ascii="Arial" w:hAnsi="Arial" w:cs="Arial"/>
          <w:b/>
        </w:rPr>
        <w:t>° 6263</w:t>
      </w:r>
    </w:p>
    <w:p w:rsidR="00BE4F89" w:rsidRDefault="00BE4F89" w:rsidP="00BE4F89">
      <w:pPr>
        <w:jc w:val="center"/>
        <w:rPr>
          <w:rFonts w:ascii="Arial" w:hAnsi="Arial" w:cs="Arial"/>
          <w:b/>
        </w:rPr>
      </w:pPr>
    </w:p>
    <w:p w:rsidR="00BE4F89" w:rsidRDefault="00BE4F89" w:rsidP="00BE4F89">
      <w:pPr>
        <w:jc w:val="center"/>
        <w:rPr>
          <w:rFonts w:ascii="Arial" w:hAnsi="Arial" w:cs="Arial"/>
          <w:b/>
        </w:rPr>
      </w:pPr>
    </w:p>
    <w:p w:rsidR="00BE4F89" w:rsidRDefault="00BE4F89" w:rsidP="00BE4F89">
      <w:pPr>
        <w:jc w:val="center"/>
        <w:rPr>
          <w:rFonts w:ascii="Arial" w:hAnsi="Arial" w:cs="Arial"/>
          <w:b/>
        </w:rPr>
      </w:pPr>
      <w:r>
        <w:rPr>
          <w:rFonts w:ascii="Arial" w:hAnsi="Arial" w:cs="Arial"/>
          <w:b/>
        </w:rPr>
        <w:t>PROPOSITION DE LOI</w:t>
      </w:r>
    </w:p>
    <w:p w:rsidR="00BE4F89" w:rsidRDefault="00BE4F89" w:rsidP="00BE4F89">
      <w:pPr>
        <w:jc w:val="center"/>
        <w:rPr>
          <w:rFonts w:ascii="Arial" w:hAnsi="Arial" w:cs="Arial"/>
          <w:b/>
        </w:rPr>
      </w:pPr>
    </w:p>
    <w:p w:rsidR="00BE4F89" w:rsidRDefault="00BE4F89" w:rsidP="00BE4F89">
      <w:pPr>
        <w:numPr>
          <w:ilvl w:val="0"/>
          <w:numId w:val="1"/>
        </w:numPr>
        <w:spacing w:after="200"/>
        <w:ind w:left="1418" w:hanging="284"/>
        <w:jc w:val="both"/>
        <w:rPr>
          <w:rFonts w:ascii="Arial" w:hAnsi="Arial" w:cs="Arial"/>
          <w:b/>
        </w:rPr>
      </w:pPr>
      <w:r>
        <w:rPr>
          <w:rFonts w:ascii="Arial" w:hAnsi="Arial" w:cs="Arial"/>
          <w:b/>
        </w:rPr>
        <w:t>portant modification de la loi du 21 décembre 2007 portant réglementation du financement des partis politiques ;</w:t>
      </w:r>
    </w:p>
    <w:p w:rsidR="00BE4F89" w:rsidRDefault="00BE4F89" w:rsidP="00BE4F89">
      <w:pPr>
        <w:numPr>
          <w:ilvl w:val="0"/>
          <w:numId w:val="1"/>
        </w:numPr>
        <w:spacing w:after="200"/>
        <w:ind w:firstLine="414"/>
        <w:jc w:val="both"/>
        <w:rPr>
          <w:rFonts w:ascii="Arial" w:hAnsi="Arial" w:cs="Arial"/>
          <w:b/>
        </w:rPr>
      </w:pPr>
      <w:r>
        <w:rPr>
          <w:rFonts w:ascii="Arial" w:hAnsi="Arial" w:cs="Arial"/>
          <w:b/>
        </w:rPr>
        <w:t>portant modification de la loi électorale modifiée du 18 février 2003</w:t>
      </w:r>
    </w:p>
    <w:p w:rsidR="00BE4F89" w:rsidRPr="005C0528" w:rsidRDefault="00BE4F89" w:rsidP="00BE4F89">
      <w:pPr>
        <w:pStyle w:val="Textebrut"/>
        <w:jc w:val="center"/>
        <w:rPr>
          <w:rFonts w:ascii="Arial" w:hAnsi="Arial" w:cs="Arial"/>
          <w:b/>
          <w:sz w:val="24"/>
          <w:szCs w:val="24"/>
        </w:rPr>
      </w:pPr>
    </w:p>
    <w:p w:rsidR="00BE4F89" w:rsidRPr="00976535" w:rsidRDefault="00BE4F89" w:rsidP="00BE4F89">
      <w:pPr>
        <w:pStyle w:val="Textebrut"/>
        <w:jc w:val="center"/>
        <w:rPr>
          <w:rFonts w:ascii="Arial" w:hAnsi="Arial" w:cs="Arial"/>
          <w:b/>
          <w:sz w:val="24"/>
          <w:szCs w:val="24"/>
          <w:lang w:val="fr-LU"/>
        </w:rPr>
      </w:pPr>
      <w:r w:rsidRPr="00976535">
        <w:rPr>
          <w:rFonts w:ascii="Arial" w:hAnsi="Arial" w:cs="Arial"/>
          <w:b/>
          <w:sz w:val="24"/>
          <w:szCs w:val="24"/>
          <w:lang w:val="fr-LU"/>
        </w:rPr>
        <w:t>___________________________________________________________________</w:t>
      </w:r>
    </w:p>
    <w:p w:rsidR="00BE4F89" w:rsidRPr="00976535" w:rsidRDefault="00BE4F89" w:rsidP="00BE4F89">
      <w:pPr>
        <w:jc w:val="both"/>
        <w:rPr>
          <w:rFonts w:ascii="Arial" w:hAnsi="Arial" w:cs="Arial"/>
        </w:rPr>
      </w:pPr>
    </w:p>
    <w:p w:rsidR="00BE4F89" w:rsidRDefault="00BE4F89" w:rsidP="00BE4F89">
      <w:pPr>
        <w:jc w:val="center"/>
        <w:rPr>
          <w:u w:val="single"/>
        </w:rPr>
      </w:pPr>
    </w:p>
    <w:p w:rsidR="00BE4F89" w:rsidRDefault="00BE4F89" w:rsidP="00BE4F89">
      <w:pPr>
        <w:jc w:val="center"/>
        <w:rPr>
          <w:u w:val="single"/>
        </w:rPr>
      </w:pPr>
    </w:p>
    <w:p w:rsidR="00BE4F89" w:rsidRPr="00F06423" w:rsidRDefault="00BE4F89" w:rsidP="00BE4F89">
      <w:pPr>
        <w:jc w:val="center"/>
        <w:rPr>
          <w:rFonts w:ascii="Arial" w:hAnsi="Arial" w:cs="Arial"/>
          <w:u w:val="single"/>
        </w:rPr>
      </w:pPr>
      <w:r w:rsidRPr="00F06423">
        <w:rPr>
          <w:rFonts w:ascii="Arial" w:hAnsi="Arial" w:cs="Arial"/>
          <w:u w:val="single"/>
        </w:rPr>
        <w:t>Résumé</w:t>
      </w:r>
    </w:p>
    <w:p w:rsidR="00BE4F89" w:rsidRDefault="00BE4F89" w:rsidP="00BE4F89">
      <w:pPr>
        <w:jc w:val="center"/>
        <w:rPr>
          <w:sz w:val="28"/>
          <w:szCs w:val="28"/>
          <w:u w:val="single"/>
        </w:rPr>
      </w:pPr>
    </w:p>
    <w:p w:rsidR="00960EC1" w:rsidRPr="00960EC1" w:rsidRDefault="00960EC1" w:rsidP="00960EC1">
      <w:pPr>
        <w:jc w:val="both"/>
        <w:rPr>
          <w:rFonts w:ascii="Arial" w:hAnsi="Arial" w:cs="Arial"/>
          <w:sz w:val="22"/>
          <w:szCs w:val="22"/>
        </w:rPr>
      </w:pPr>
      <w:r w:rsidRPr="00960EC1">
        <w:rPr>
          <w:rFonts w:ascii="Arial" w:hAnsi="Arial" w:cs="Arial"/>
          <w:sz w:val="22"/>
          <w:szCs w:val="22"/>
        </w:rPr>
        <w:t>Dans son exposé des motifs, l’auteur de la proposition de loi tient à rappeler que la loi du 21 décembre 2007 portant réglementation du financement des partis politiques a permis à notre pays de se doter d’une législation dont les objectifs consistent à :</w:t>
      </w:r>
    </w:p>
    <w:p w:rsidR="00960EC1" w:rsidRPr="00960EC1" w:rsidRDefault="00960EC1" w:rsidP="00960EC1">
      <w:pPr>
        <w:jc w:val="both"/>
        <w:rPr>
          <w:rFonts w:ascii="Arial" w:hAnsi="Arial" w:cs="Arial"/>
          <w:sz w:val="22"/>
          <w:szCs w:val="22"/>
        </w:rPr>
      </w:pPr>
    </w:p>
    <w:p w:rsidR="00960EC1" w:rsidRPr="00960EC1" w:rsidRDefault="00960EC1" w:rsidP="00960EC1">
      <w:pPr>
        <w:pStyle w:val="Paragraphedeliste"/>
        <w:numPr>
          <w:ilvl w:val="0"/>
          <w:numId w:val="2"/>
        </w:numPr>
        <w:jc w:val="both"/>
        <w:rPr>
          <w:rFonts w:ascii="Arial" w:hAnsi="Arial" w:cs="Arial"/>
        </w:rPr>
      </w:pPr>
      <w:r w:rsidRPr="00960EC1">
        <w:rPr>
          <w:rFonts w:ascii="Arial" w:hAnsi="Arial" w:cs="Arial"/>
        </w:rPr>
        <w:t>garantir aux partis politiques une assise financière stable ;</w:t>
      </w:r>
    </w:p>
    <w:p w:rsidR="00960EC1" w:rsidRPr="00960EC1" w:rsidRDefault="00960EC1" w:rsidP="00960EC1">
      <w:pPr>
        <w:pStyle w:val="Paragraphedeliste"/>
        <w:numPr>
          <w:ilvl w:val="0"/>
          <w:numId w:val="2"/>
        </w:numPr>
        <w:jc w:val="both"/>
        <w:rPr>
          <w:rFonts w:ascii="Arial" w:hAnsi="Arial" w:cs="Arial"/>
        </w:rPr>
      </w:pPr>
      <w:r w:rsidRPr="00960EC1">
        <w:rPr>
          <w:rFonts w:ascii="Arial" w:hAnsi="Arial" w:cs="Arial"/>
        </w:rPr>
        <w:t>assurer une transparence absolue du financement des partis politiques ;</w:t>
      </w:r>
    </w:p>
    <w:p w:rsidR="00960EC1" w:rsidRPr="00960EC1" w:rsidRDefault="00960EC1" w:rsidP="00960EC1">
      <w:pPr>
        <w:pStyle w:val="Paragraphedeliste"/>
        <w:numPr>
          <w:ilvl w:val="0"/>
          <w:numId w:val="2"/>
        </w:numPr>
        <w:jc w:val="both"/>
        <w:rPr>
          <w:rFonts w:ascii="Arial" w:hAnsi="Arial" w:cs="Arial"/>
        </w:rPr>
      </w:pPr>
      <w:r w:rsidRPr="00960EC1">
        <w:rPr>
          <w:rFonts w:ascii="Arial" w:hAnsi="Arial" w:cs="Arial"/>
        </w:rPr>
        <w:t>établir une égalité de chances et de droits des formations politiques ;</w:t>
      </w:r>
    </w:p>
    <w:p w:rsidR="00960EC1" w:rsidRPr="00960EC1" w:rsidRDefault="00960EC1" w:rsidP="00960EC1">
      <w:pPr>
        <w:pStyle w:val="Paragraphedeliste"/>
        <w:numPr>
          <w:ilvl w:val="0"/>
          <w:numId w:val="2"/>
        </w:numPr>
        <w:jc w:val="both"/>
        <w:rPr>
          <w:rFonts w:ascii="Arial" w:hAnsi="Arial" w:cs="Arial"/>
        </w:rPr>
      </w:pPr>
      <w:r w:rsidRPr="00960EC1">
        <w:rPr>
          <w:rFonts w:ascii="Arial" w:hAnsi="Arial" w:cs="Arial"/>
        </w:rPr>
        <w:t>renforcer l’indépendance des partis politiques en limitant et en réglementant d’une manière stricte le financement privé ;</w:t>
      </w:r>
    </w:p>
    <w:p w:rsidR="00960EC1" w:rsidRPr="00960EC1" w:rsidRDefault="00960EC1" w:rsidP="00960EC1">
      <w:pPr>
        <w:pStyle w:val="Paragraphedeliste"/>
        <w:numPr>
          <w:ilvl w:val="0"/>
          <w:numId w:val="3"/>
        </w:numPr>
        <w:jc w:val="both"/>
        <w:rPr>
          <w:rFonts w:ascii="Arial" w:hAnsi="Arial" w:cs="Arial"/>
        </w:rPr>
      </w:pPr>
      <w:r w:rsidRPr="00960EC1">
        <w:rPr>
          <w:rFonts w:ascii="Arial" w:hAnsi="Arial" w:cs="Arial"/>
        </w:rPr>
        <w:t>écarter tout conflit d’intérêt.</w:t>
      </w:r>
    </w:p>
    <w:p w:rsidR="00960EC1" w:rsidRDefault="00960EC1" w:rsidP="00960EC1">
      <w:pPr>
        <w:jc w:val="both"/>
        <w:rPr>
          <w:rFonts w:ascii="Arial" w:hAnsi="Arial" w:cs="Arial"/>
          <w:sz w:val="22"/>
          <w:szCs w:val="22"/>
        </w:rPr>
      </w:pPr>
      <w:r w:rsidRPr="00960EC1">
        <w:rPr>
          <w:rFonts w:ascii="Arial" w:hAnsi="Arial" w:cs="Arial"/>
          <w:sz w:val="22"/>
          <w:szCs w:val="22"/>
        </w:rPr>
        <w:t>Les dispositions de la loi du 21 décembre 2007 précitée et celles des articles 91 à 93 de la loi électorale modifiée du 18 février 2003 ont fait leurs preuves, ce que la Commission des Institutions et de la Révision constitutionnelle, qui a assuré le suivi d’application de cette législation, a pu constater à l’examen des rapports de la Cour des Comptes sur l’observation des dispositions des articles 2, alinéa 3, 6, 8, 9, 10, 11, 12 et 13 de la loi du 21 décembre 2007 pour les exercices 2008 et 2009</w:t>
      </w:r>
      <w:r w:rsidR="00345B20">
        <w:rPr>
          <w:rFonts w:ascii="Arial" w:hAnsi="Arial" w:cs="Arial"/>
          <w:sz w:val="22"/>
          <w:szCs w:val="22"/>
        </w:rPr>
        <w:t>.</w:t>
      </w:r>
    </w:p>
    <w:p w:rsidR="00345B20" w:rsidRPr="00960EC1" w:rsidRDefault="00345B20" w:rsidP="00960EC1">
      <w:pPr>
        <w:jc w:val="both"/>
        <w:rPr>
          <w:rFonts w:ascii="Arial" w:hAnsi="Arial" w:cs="Arial"/>
          <w:sz w:val="22"/>
          <w:szCs w:val="22"/>
        </w:rPr>
      </w:pPr>
    </w:p>
    <w:p w:rsidR="00960EC1" w:rsidRDefault="00960EC1" w:rsidP="00960EC1">
      <w:pPr>
        <w:jc w:val="both"/>
        <w:rPr>
          <w:rFonts w:ascii="Arial" w:hAnsi="Arial" w:cs="Arial"/>
          <w:sz w:val="22"/>
          <w:szCs w:val="22"/>
        </w:rPr>
      </w:pPr>
      <w:r w:rsidRPr="00960EC1">
        <w:rPr>
          <w:rFonts w:ascii="Arial" w:hAnsi="Arial" w:cs="Arial"/>
          <w:sz w:val="22"/>
          <w:szCs w:val="22"/>
        </w:rPr>
        <w:t xml:space="preserve">La Commission des Institutions et de la Révision constitutionnelle, qui s’est encore prêtée à préciser avec les partis politiques la portée de leurs obligations au regard de la loi du 21 décembre 2007 précitée, a pu se convaincre, notamment à la lecture des rapports précités de la Cour des Comptes, qu’il convient, dans un souci de clarification, d’apporter quelques adaptations à la loi du 21 décembre 2007 et à la loi électorale modifiée du 18 février 2003 précitées. Cette démarche doit permettre de tenir compte, dans la mesure du possible, des recommandations du Groupe d'Etats contre la corruption (GRECO) du Conseil de l’Europe formulées dans son rapport d’évaluation du Luxembourg sur la </w:t>
      </w:r>
      <w:r w:rsidRPr="00960EC1">
        <w:rPr>
          <w:rFonts w:ascii="Arial" w:hAnsi="Arial" w:cs="Arial"/>
          <w:i/>
          <w:sz w:val="22"/>
          <w:szCs w:val="22"/>
        </w:rPr>
        <w:t>« Transparence du financement des partis politiques »</w:t>
      </w:r>
      <w:r w:rsidRPr="00960EC1">
        <w:rPr>
          <w:rFonts w:ascii="Arial" w:hAnsi="Arial" w:cs="Arial"/>
          <w:sz w:val="22"/>
          <w:szCs w:val="22"/>
        </w:rPr>
        <w:t>, adopté lors de la 38</w:t>
      </w:r>
      <w:r w:rsidRPr="00960EC1">
        <w:rPr>
          <w:rFonts w:ascii="Arial" w:hAnsi="Arial" w:cs="Arial"/>
          <w:sz w:val="22"/>
          <w:szCs w:val="22"/>
          <w:vertAlign w:val="superscript"/>
        </w:rPr>
        <w:t>ième</w:t>
      </w:r>
      <w:r w:rsidRPr="00960EC1">
        <w:rPr>
          <w:rFonts w:ascii="Arial" w:hAnsi="Arial" w:cs="Arial"/>
          <w:sz w:val="22"/>
          <w:szCs w:val="22"/>
        </w:rPr>
        <w:t xml:space="preserve"> réunion plénière du 9 au 13 juin 2008, ainsi que dans son rapport de conformité intermédiaire sur le Luxembourg, adopté lors de sa 50</w:t>
      </w:r>
      <w:r w:rsidRPr="00960EC1">
        <w:rPr>
          <w:rFonts w:ascii="Arial" w:hAnsi="Arial" w:cs="Arial"/>
          <w:sz w:val="22"/>
          <w:szCs w:val="22"/>
          <w:vertAlign w:val="superscript"/>
        </w:rPr>
        <w:t>ième</w:t>
      </w:r>
      <w:r w:rsidRPr="00960EC1">
        <w:rPr>
          <w:rFonts w:ascii="Arial" w:hAnsi="Arial" w:cs="Arial"/>
          <w:sz w:val="22"/>
          <w:szCs w:val="22"/>
        </w:rPr>
        <w:t xml:space="preserve"> réunion plénière du 28 mars au 1</w:t>
      </w:r>
      <w:r w:rsidRPr="00960EC1">
        <w:rPr>
          <w:rFonts w:ascii="Arial" w:hAnsi="Arial" w:cs="Arial"/>
          <w:sz w:val="22"/>
          <w:szCs w:val="22"/>
          <w:vertAlign w:val="superscript"/>
        </w:rPr>
        <w:t>ier</w:t>
      </w:r>
      <w:r w:rsidRPr="00960EC1">
        <w:rPr>
          <w:rFonts w:ascii="Arial" w:hAnsi="Arial" w:cs="Arial"/>
          <w:sz w:val="22"/>
          <w:szCs w:val="22"/>
        </w:rPr>
        <w:t xml:space="preserve"> avril 2011.</w:t>
      </w:r>
    </w:p>
    <w:p w:rsidR="00345B20" w:rsidRPr="00960EC1" w:rsidRDefault="00345B20" w:rsidP="00960EC1">
      <w:pPr>
        <w:jc w:val="both"/>
        <w:rPr>
          <w:rFonts w:ascii="Arial" w:hAnsi="Arial" w:cs="Arial"/>
          <w:sz w:val="22"/>
          <w:szCs w:val="22"/>
        </w:rPr>
      </w:pPr>
    </w:p>
    <w:p w:rsidR="00960EC1" w:rsidRDefault="00960EC1" w:rsidP="00960EC1">
      <w:pPr>
        <w:jc w:val="both"/>
        <w:rPr>
          <w:rFonts w:ascii="Arial" w:hAnsi="Arial" w:cs="Arial"/>
          <w:i/>
          <w:sz w:val="22"/>
          <w:szCs w:val="22"/>
        </w:rPr>
      </w:pPr>
      <w:r w:rsidRPr="00960EC1">
        <w:rPr>
          <w:rFonts w:ascii="Arial" w:hAnsi="Arial" w:cs="Arial"/>
          <w:sz w:val="22"/>
          <w:szCs w:val="22"/>
        </w:rPr>
        <w:t xml:space="preserve">La Commission des Institutions et de la Révision constitutionnelle tient également à rappeler que dans sa réunion du 13 juillet 2011, la Chambre des Députés a complété l’article 16 de son Règlement par un alinéa 5 nouveau prévoyant que </w:t>
      </w:r>
      <w:r w:rsidRPr="00960EC1">
        <w:rPr>
          <w:rFonts w:ascii="Arial" w:hAnsi="Arial" w:cs="Arial"/>
          <w:i/>
          <w:sz w:val="22"/>
          <w:szCs w:val="22"/>
        </w:rPr>
        <w:t>« Les aides financières accordées aux groupes politiques sont destinées exclusivement à couvrir les dépenses ayant trait aux activités parlementaires et ne peuvent être utilisées pour couvrir les dépenses produites par les partis politiques. »</w:t>
      </w:r>
    </w:p>
    <w:sectPr w:rsidR="00960EC1" w:rsidSect="00870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3EDC"/>
    <w:multiLevelType w:val="hybridMultilevel"/>
    <w:tmpl w:val="EEC81194"/>
    <w:lvl w:ilvl="0" w:tplc="0234BDAC">
      <w:numFmt w:val="bullet"/>
      <w:lvlText w:val="-"/>
      <w:lvlJc w:val="left"/>
      <w:pPr>
        <w:ind w:left="720" w:hanging="360"/>
      </w:pPr>
      <w:rPr>
        <w:rFonts w:ascii="Calibri" w:eastAsia="Calibri" w:hAnsi="Calibri"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4D3D5B70"/>
    <w:multiLevelType w:val="hybridMultilevel"/>
    <w:tmpl w:val="604EFC0E"/>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15:restartNumberingAfterBreak="0">
    <w:nsid w:val="5666589B"/>
    <w:multiLevelType w:val="hybridMultilevel"/>
    <w:tmpl w:val="C93EC580"/>
    <w:lvl w:ilvl="0" w:tplc="0234BDAC">
      <w:numFmt w:val="bullet"/>
      <w:lvlText w:val="-"/>
      <w:lvlJc w:val="left"/>
      <w:pPr>
        <w:ind w:left="720" w:hanging="360"/>
      </w:pPr>
      <w:rPr>
        <w:rFonts w:ascii="Calibri" w:eastAsia="Calibri" w:hAnsi="Calibri" w:cs="Times New Roman"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1B8"/>
    <w:rsid w:val="00345B20"/>
    <w:rsid w:val="007B551F"/>
    <w:rsid w:val="00870FD7"/>
    <w:rsid w:val="00960EC1"/>
    <w:rsid w:val="00BE4F89"/>
    <w:rsid w:val="00E805F0"/>
    <w:rsid w:val="00F03D5C"/>
    <w:rsid w:val="00F06423"/>
    <w:rsid w:val="00F301B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6819187A-BD13-429C-9AE2-43E218A0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F89"/>
    <w:rPr>
      <w:rFonts w:ascii="Times New Roman" w:eastAsia="Times New Roman" w:hAnsi="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rsid w:val="00BE4F89"/>
    <w:pPr>
      <w:jc w:val="both"/>
    </w:pPr>
    <w:rPr>
      <w:rFonts w:ascii="Courier New" w:hAnsi="Courier New"/>
      <w:sz w:val="20"/>
      <w:szCs w:val="20"/>
    </w:rPr>
  </w:style>
  <w:style w:type="character" w:customStyle="1" w:styleId="TextebrutCar">
    <w:name w:val="Texte brut Car"/>
    <w:basedOn w:val="Policepardfaut"/>
    <w:link w:val="Textebrut"/>
    <w:uiPriority w:val="99"/>
    <w:rsid w:val="00BE4F89"/>
    <w:rPr>
      <w:rFonts w:ascii="Courier New" w:eastAsia="Times New Roman" w:hAnsi="Courier New" w:cs="Times New Roman"/>
      <w:sz w:val="20"/>
      <w:szCs w:val="20"/>
      <w:lang w:val="fr-FR" w:eastAsia="fr-FR"/>
    </w:rPr>
  </w:style>
  <w:style w:type="paragraph" w:styleId="Paragraphedeliste">
    <w:name w:val="List Paragraph"/>
    <w:basedOn w:val="Normal"/>
    <w:uiPriority w:val="34"/>
    <w:qFormat/>
    <w:rsid w:val="00960EC1"/>
    <w:pPr>
      <w:spacing w:after="200" w:line="276" w:lineRule="auto"/>
      <w:ind w:left="720"/>
      <w:contextualSpacing/>
    </w:pPr>
    <w:rPr>
      <w:rFonts w:ascii="Calibri" w:eastAsia="Calibri" w:hAnsi="Calibri"/>
      <w:sz w:val="22"/>
      <w:szCs w:val="22"/>
      <w:lang w:val="fr-L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DP6263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Proposition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6263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/sftpecos/Dossiers_parlementaires/6263/</WDocsPath>
    <FileSecurityLevel_x0020_ xmlns="84f9a6a8-f2d8-4679-afd4-008cbd8c3661">CHD_Level1_Public</FileSecurityLevel_x0020_>
    <Suffixe_x0020_du_x0020_Numéro_x0020_parlementaire xmlns="84f9a6a8-f2d8-4679-afd4-008cbd8c3661" xsi:nil="true"/>
    <FileClassificationLevel2 xmlns="84f9a6a8-f2d8-4679-afd4-008cbd8c3661">20_Proposition_loi</FileClassificationLevel2>
    <TaxCatchAll xmlns="84f9a6a8-f2d8-4679-afd4-008cbd8c3661" xsi:nil="true"/>
  </documentManagement>
</p:properties>
</file>

<file path=customXml/itemProps1.xml><?xml version="1.0" encoding="utf-8"?>
<ds:datastoreItem xmlns:ds="http://schemas.openxmlformats.org/officeDocument/2006/customXml" ds:itemID="{77FD68DF-FB59-41FA-A86D-8C0084401D2A}"/>
</file>

<file path=customXml/itemProps2.xml><?xml version="1.0" encoding="utf-8"?>
<ds:datastoreItem xmlns:ds="http://schemas.openxmlformats.org/officeDocument/2006/customXml" ds:itemID="{FB9FDBC0-CD6B-4352-A9A9-CF18D9186101}"/>
</file>

<file path=customXml/itemProps3.xml><?xml version="1.0" encoding="utf-8"?>
<ds:datastoreItem xmlns:ds="http://schemas.openxmlformats.org/officeDocument/2006/customXml" ds:itemID="{4C86FFC1-AEDE-41AE-B3FE-F57179577CEF}"/>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2421</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Tania Braas</dc:creator>
  <cp:keywords/>
  <cp:lastModifiedBy>SYSTEM</cp:lastModifiedBy>
  <cp:revision>2</cp:revision>
  <dcterms:created xsi:type="dcterms:W3CDTF">2024-02-21T07:46:00Z</dcterms:created>
  <dcterms:modified xsi:type="dcterms:W3CDTF">2024-02-21T07:46:00Z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