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6B" w:rsidRPr="000D7E3B" w:rsidRDefault="002F386B" w:rsidP="002F386B">
      <w:pPr>
        <w:jc w:val="center"/>
        <w:rPr>
          <w:b/>
          <w:sz w:val="32"/>
          <w:szCs w:val="32"/>
          <w:lang w:val="fr-LU"/>
        </w:rPr>
      </w:pPr>
      <w:bookmarkStart w:id="0" w:name="_GoBack"/>
      <w:bookmarkEnd w:id="0"/>
      <w:r w:rsidRPr="000D7E3B">
        <w:rPr>
          <w:b/>
          <w:sz w:val="32"/>
          <w:szCs w:val="32"/>
          <w:lang w:val="fr-LU"/>
        </w:rPr>
        <w:t>N°</w:t>
      </w:r>
      <w:r w:rsidRPr="000D7E3B">
        <w:rPr>
          <w:b/>
          <w:color w:val="FF0000"/>
          <w:sz w:val="32"/>
          <w:szCs w:val="32"/>
          <w:lang w:val="fr-LU"/>
        </w:rPr>
        <w:t xml:space="preserve"> </w:t>
      </w:r>
      <w:r w:rsidRPr="000D7E3B">
        <w:rPr>
          <w:b/>
          <w:sz w:val="32"/>
          <w:szCs w:val="32"/>
          <w:lang w:val="fr-LU"/>
        </w:rPr>
        <w:t>6212</w:t>
      </w:r>
    </w:p>
    <w:p w:rsidR="002F386B" w:rsidRPr="000C3F46" w:rsidRDefault="002F386B" w:rsidP="002F386B">
      <w:pPr>
        <w:jc w:val="center"/>
        <w:rPr>
          <w:b/>
          <w:sz w:val="28"/>
          <w:szCs w:val="28"/>
          <w:lang w:val="fr-LU"/>
        </w:rPr>
      </w:pPr>
      <w:r w:rsidRPr="000C3F46">
        <w:rPr>
          <w:b/>
          <w:sz w:val="28"/>
          <w:szCs w:val="28"/>
          <w:lang w:val="fr-LU"/>
        </w:rPr>
        <w:t>Chambre des Députés</w:t>
      </w:r>
    </w:p>
    <w:p w:rsidR="002F386B" w:rsidRPr="000C3F46" w:rsidRDefault="003644C5" w:rsidP="002F386B">
      <w:pPr>
        <w:jc w:val="center"/>
        <w:rPr>
          <w:b/>
          <w:sz w:val="28"/>
          <w:szCs w:val="28"/>
          <w:lang w:val="fr-LU"/>
        </w:rPr>
      </w:pPr>
      <w:r>
        <w:rPr>
          <w:b/>
          <w:sz w:val="28"/>
          <w:szCs w:val="28"/>
          <w:lang w:val="fr-LU"/>
        </w:rPr>
        <w:t>Session ordinaire 2010-2011</w:t>
      </w:r>
    </w:p>
    <w:p w:rsidR="002F386B" w:rsidRPr="000D7E3B" w:rsidRDefault="002F386B" w:rsidP="002F386B">
      <w:pPr>
        <w:pBdr>
          <w:bottom w:val="thinThickSmallGap" w:sz="24" w:space="1" w:color="auto"/>
        </w:pBdr>
        <w:jc w:val="center"/>
        <w:rPr>
          <w:b/>
          <w:lang w:val="fr-LU"/>
        </w:rPr>
      </w:pPr>
    </w:p>
    <w:p w:rsidR="002F386B" w:rsidRPr="000D7E3B" w:rsidRDefault="002F386B" w:rsidP="002F386B">
      <w:pPr>
        <w:jc w:val="both"/>
        <w:rPr>
          <w:b/>
          <w:lang w:val="fr-LU"/>
        </w:rPr>
      </w:pPr>
    </w:p>
    <w:p w:rsidR="002F386B" w:rsidRPr="000C3F46" w:rsidRDefault="002F386B" w:rsidP="002F386B">
      <w:pPr>
        <w:jc w:val="center"/>
        <w:rPr>
          <w:b/>
          <w:sz w:val="32"/>
          <w:szCs w:val="32"/>
          <w:lang w:val="fr-LU"/>
        </w:rPr>
      </w:pPr>
      <w:r w:rsidRPr="000C3F46">
        <w:rPr>
          <w:b/>
          <w:sz w:val="32"/>
          <w:szCs w:val="32"/>
          <w:lang w:val="fr-LU"/>
        </w:rPr>
        <w:t>Projet de loi</w:t>
      </w:r>
    </w:p>
    <w:p w:rsidR="002F386B" w:rsidRPr="006C5D5F" w:rsidRDefault="002F386B" w:rsidP="002F386B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fr-LU"/>
        </w:rPr>
      </w:pPr>
    </w:p>
    <w:p w:rsidR="002F386B" w:rsidRPr="006C5D5F" w:rsidRDefault="002F386B" w:rsidP="002F386B">
      <w:pPr>
        <w:autoSpaceDE w:val="0"/>
        <w:autoSpaceDN w:val="0"/>
        <w:adjustRightInd w:val="0"/>
        <w:ind w:left="709" w:right="708"/>
        <w:jc w:val="both"/>
        <w:rPr>
          <w:b/>
          <w:bCs/>
          <w:lang w:val="fr-LU" w:eastAsia="fr-LU"/>
        </w:rPr>
      </w:pPr>
      <w:r w:rsidRPr="006C5D5F">
        <w:rPr>
          <w:b/>
          <w:bCs/>
          <w:lang w:val="fr-LU" w:eastAsia="fr-LU"/>
        </w:rPr>
        <w:t>portant approbation de la Convention relative au dédouanement centralisé, concernant l’attribution des frais de perception nationaux qui sont conservés lorsque les ressources propres traditionnelles sont mises à la disposition du budget de l’UE, signée à Bruxelles, le 10 mars 2009</w:t>
      </w:r>
    </w:p>
    <w:p w:rsidR="002F386B" w:rsidRPr="006C5D5F" w:rsidRDefault="002F386B" w:rsidP="002F386B">
      <w:pPr>
        <w:autoSpaceDE w:val="0"/>
        <w:autoSpaceDN w:val="0"/>
        <w:adjustRightInd w:val="0"/>
        <w:ind w:left="851"/>
        <w:rPr>
          <w:b/>
          <w:bCs/>
          <w:lang w:val="fr-LU" w:eastAsia="fr-LU"/>
        </w:rPr>
      </w:pPr>
    </w:p>
    <w:p w:rsidR="002F386B" w:rsidRPr="002C7134" w:rsidRDefault="002F386B" w:rsidP="00B516B0">
      <w:pPr>
        <w:rPr>
          <w:rFonts w:eastAsia="TTA20D4008t00"/>
          <w:lang w:val="fr-FR"/>
        </w:rPr>
      </w:pPr>
    </w:p>
    <w:p w:rsidR="00CD0C93" w:rsidRPr="002C7134" w:rsidRDefault="002F386B" w:rsidP="001A1029">
      <w:pPr>
        <w:jc w:val="both"/>
        <w:rPr>
          <w:lang w:val="fr-FR"/>
        </w:rPr>
      </w:pPr>
      <w:r w:rsidRPr="002C7134">
        <w:rPr>
          <w:rFonts w:eastAsia="TTA20D4008t00"/>
          <w:lang w:val="fr-FR"/>
        </w:rPr>
        <w:t>Le projet de lo</w:t>
      </w:r>
      <w:r w:rsidR="00CD0C93" w:rsidRPr="002C7134">
        <w:rPr>
          <w:rFonts w:eastAsia="TTA20D4008t00"/>
          <w:lang w:val="fr-FR"/>
        </w:rPr>
        <w:t>i</w:t>
      </w:r>
      <w:r w:rsidR="00DE317E">
        <w:rPr>
          <w:rFonts w:eastAsia="TTA20D4008t00"/>
          <w:lang w:val="fr-FR"/>
        </w:rPr>
        <w:t xml:space="preserve"> a pour objet d’approuver</w:t>
      </w:r>
      <w:r w:rsidR="00CD0C93" w:rsidRPr="002C7134">
        <w:rPr>
          <w:rFonts w:eastAsia="TTA20D4008t00"/>
          <w:lang w:val="fr-FR"/>
        </w:rPr>
        <w:t xml:space="preserve"> </w:t>
      </w:r>
      <w:r w:rsidR="00CD0C93" w:rsidRPr="002C7134">
        <w:rPr>
          <w:lang w:val="fr-FR"/>
        </w:rPr>
        <w:t>la Convention relative au dédouanement centralisé, concernant</w:t>
      </w:r>
      <w:r w:rsidR="00B516B0" w:rsidRPr="002C7134">
        <w:rPr>
          <w:lang w:val="fr-FR"/>
        </w:rPr>
        <w:t xml:space="preserve"> </w:t>
      </w:r>
      <w:r w:rsidR="00CD0C93" w:rsidRPr="002C7134">
        <w:rPr>
          <w:lang w:val="fr-FR"/>
        </w:rPr>
        <w:t>l’attribution des frais de perception nationaux qui sont conservés lorsque les ressources propres traditionnelles</w:t>
      </w:r>
      <w:r w:rsidR="00B516B0" w:rsidRPr="002C7134">
        <w:rPr>
          <w:lang w:val="fr-FR"/>
        </w:rPr>
        <w:t xml:space="preserve"> </w:t>
      </w:r>
      <w:r w:rsidR="00CD0C93" w:rsidRPr="002C7134">
        <w:rPr>
          <w:lang w:val="fr-FR"/>
        </w:rPr>
        <w:t>sont mises à la disposition du budget de l’UE, signée à Bruxelles, le 10 mars 2009.</w:t>
      </w:r>
      <w:r w:rsidR="00DE317E">
        <w:rPr>
          <w:lang w:val="fr-FR"/>
        </w:rPr>
        <w:t xml:space="preserve"> </w:t>
      </w:r>
      <w:r w:rsidR="004A2D2F">
        <w:rPr>
          <w:lang w:val="fr-FR"/>
        </w:rPr>
        <w:t>L</w:t>
      </w:r>
      <w:r w:rsidR="00DE317E">
        <w:rPr>
          <w:lang w:val="fr-FR"/>
        </w:rPr>
        <w:t>es taxes douanières perçues sur les march</w:t>
      </w:r>
      <w:r w:rsidR="003644C5">
        <w:rPr>
          <w:lang w:val="fr-FR"/>
        </w:rPr>
        <w:t>andises importées dans l’Union e</w:t>
      </w:r>
      <w:r w:rsidR="00DE317E">
        <w:rPr>
          <w:lang w:val="fr-FR"/>
        </w:rPr>
        <w:t>uropéenne</w:t>
      </w:r>
      <w:r w:rsidR="003644C5">
        <w:rPr>
          <w:lang w:val="fr-FR"/>
        </w:rPr>
        <w:t xml:space="preserve"> (« UE »)</w:t>
      </w:r>
      <w:r w:rsidR="00DE317E">
        <w:rPr>
          <w:lang w:val="fr-FR"/>
        </w:rPr>
        <w:t xml:space="preserve"> constituent à raison de 75% des ressources propres traditionnelles mises à la disposition du budget communautaire et de 25% des frais de perception à retenir par le pays d’importation des marchandises concernées.</w:t>
      </w:r>
    </w:p>
    <w:p w:rsidR="00CD0C93" w:rsidRPr="002C7134" w:rsidRDefault="00CD0C93" w:rsidP="001A1029">
      <w:pPr>
        <w:jc w:val="both"/>
        <w:rPr>
          <w:lang w:val="fr-FR"/>
        </w:rPr>
      </w:pPr>
    </w:p>
    <w:p w:rsidR="005E35FB" w:rsidRPr="002C7134" w:rsidRDefault="0097241B" w:rsidP="001A1029">
      <w:pPr>
        <w:jc w:val="both"/>
        <w:rPr>
          <w:lang w:val="fr-FR"/>
        </w:rPr>
      </w:pPr>
      <w:r w:rsidRPr="002C7134">
        <w:rPr>
          <w:lang w:val="fr-FR"/>
        </w:rPr>
        <w:t xml:space="preserve">Comme les déclarations de marchandises aux frontières d’un Etat </w:t>
      </w:r>
      <w:r w:rsidR="00B516B0" w:rsidRPr="002C7134">
        <w:rPr>
          <w:lang w:val="fr-FR"/>
        </w:rPr>
        <w:t xml:space="preserve">membre aux fins de leur mise en </w:t>
      </w:r>
      <w:r w:rsidRPr="002C7134">
        <w:rPr>
          <w:lang w:val="fr-FR"/>
        </w:rPr>
        <w:t>libre pratique dans un autre Etat membre génèrent des frais administrat</w:t>
      </w:r>
      <w:r w:rsidR="00B516B0" w:rsidRPr="002C7134">
        <w:rPr>
          <w:lang w:val="fr-FR"/>
        </w:rPr>
        <w:t xml:space="preserve">ifs dans l’Etat de présentation </w:t>
      </w:r>
      <w:r w:rsidRPr="002C7134">
        <w:rPr>
          <w:lang w:val="fr-FR"/>
        </w:rPr>
        <w:t>des marchandises, il a paru logique aux 27 Etats membres de l’</w:t>
      </w:r>
      <w:r w:rsidR="003644C5">
        <w:rPr>
          <w:lang w:val="fr-FR"/>
        </w:rPr>
        <w:t xml:space="preserve">UE </w:t>
      </w:r>
      <w:r w:rsidR="00B516B0" w:rsidRPr="002C7134">
        <w:rPr>
          <w:lang w:val="fr-FR"/>
        </w:rPr>
        <w:t xml:space="preserve">de négocier une </w:t>
      </w:r>
      <w:r w:rsidRPr="002C7134">
        <w:rPr>
          <w:lang w:val="fr-FR"/>
        </w:rPr>
        <w:t>convention organisant une redistribution des frais de perception</w:t>
      </w:r>
      <w:r w:rsidR="00F40D38">
        <w:rPr>
          <w:lang w:val="fr-FR"/>
        </w:rPr>
        <w:t>.</w:t>
      </w:r>
    </w:p>
    <w:p w:rsidR="0097241B" w:rsidRPr="002C7134" w:rsidRDefault="0097241B" w:rsidP="001A1029">
      <w:pPr>
        <w:jc w:val="both"/>
        <w:rPr>
          <w:lang w:val="fr-FR"/>
        </w:rPr>
      </w:pPr>
    </w:p>
    <w:p w:rsidR="0097241B" w:rsidRPr="002C7134" w:rsidRDefault="005E35FB" w:rsidP="001A1029">
      <w:pPr>
        <w:jc w:val="both"/>
        <w:rPr>
          <w:lang w:val="fr-FR"/>
        </w:rPr>
      </w:pPr>
      <w:r w:rsidRPr="002C7134">
        <w:rPr>
          <w:lang w:val="fr-FR"/>
        </w:rPr>
        <w:t>L’adoption de la Convention est devenue nécessaire dans le contexte du dédouanement centralisé qui sera introduit dès la m</w:t>
      </w:r>
      <w:r w:rsidR="00F40D38">
        <w:rPr>
          <w:lang w:val="fr-FR"/>
        </w:rPr>
        <w:t xml:space="preserve">ise en application </w:t>
      </w:r>
      <w:r w:rsidR="0097241B" w:rsidRPr="002C7134">
        <w:rPr>
          <w:lang w:val="fr-FR"/>
        </w:rPr>
        <w:t>du règlement</w:t>
      </w:r>
      <w:r w:rsidR="001A1029" w:rsidRPr="002C7134">
        <w:rPr>
          <w:lang w:val="fr-FR"/>
        </w:rPr>
        <w:t xml:space="preserve"> </w:t>
      </w:r>
      <w:r w:rsidR="0097241B" w:rsidRPr="002C7134">
        <w:rPr>
          <w:lang w:val="fr-FR"/>
        </w:rPr>
        <w:t xml:space="preserve">(CE) No 450/2008 du Parlement européen et du Conseil du 23 avril 2008 </w:t>
      </w:r>
      <w:r w:rsidRPr="002C7134">
        <w:rPr>
          <w:lang w:val="fr-FR"/>
        </w:rPr>
        <w:t xml:space="preserve">établissant le code des douanes communautaire (code des douanes modernisé). </w:t>
      </w:r>
      <w:r w:rsidR="00295524">
        <w:rPr>
          <w:lang w:val="fr-FR"/>
        </w:rPr>
        <w:t>Les dispositions concernant la mise en application dudit règlement sont sur le point d’être finalisées.</w:t>
      </w:r>
    </w:p>
    <w:p w:rsidR="0097241B" w:rsidRPr="002C7134" w:rsidRDefault="0097241B" w:rsidP="001A1029">
      <w:pPr>
        <w:jc w:val="both"/>
        <w:rPr>
          <w:lang w:val="fr-FR"/>
        </w:rPr>
      </w:pPr>
    </w:p>
    <w:p w:rsidR="005E35FB" w:rsidRDefault="005E35FB" w:rsidP="001A1029">
      <w:pPr>
        <w:jc w:val="both"/>
        <w:rPr>
          <w:lang w:val="fr-FR"/>
        </w:rPr>
      </w:pPr>
      <w:r w:rsidRPr="002C7134">
        <w:rPr>
          <w:lang w:val="fr-FR"/>
        </w:rPr>
        <w:t xml:space="preserve">La Convention rendra obligatoire et réglera le partage 50/50 des frais de perception nationaux lorsque des marchandises, déclarées pour la </w:t>
      </w:r>
      <w:r w:rsidR="003644C5">
        <w:rPr>
          <w:lang w:val="fr-FR"/>
        </w:rPr>
        <w:t>mise en libre pratique dans un E</w:t>
      </w:r>
      <w:r w:rsidRPr="002C7134">
        <w:rPr>
          <w:lang w:val="fr-FR"/>
        </w:rPr>
        <w:t>tat membre de l’Union européenne, sont présen</w:t>
      </w:r>
      <w:r w:rsidR="003644C5">
        <w:rPr>
          <w:lang w:val="fr-FR"/>
        </w:rPr>
        <w:t>tées à la douane dans un autre E</w:t>
      </w:r>
      <w:r w:rsidRPr="002C7134">
        <w:rPr>
          <w:lang w:val="fr-FR"/>
        </w:rPr>
        <w:t>tat membre.</w:t>
      </w:r>
      <w:r w:rsidR="0097241B" w:rsidRPr="002C7134">
        <w:rPr>
          <w:lang w:val="fr-FR"/>
        </w:rPr>
        <w:t xml:space="preserve"> </w:t>
      </w:r>
    </w:p>
    <w:p w:rsidR="004A2D2F" w:rsidRPr="002C7134" w:rsidRDefault="004A2D2F" w:rsidP="001A1029">
      <w:pPr>
        <w:jc w:val="both"/>
        <w:rPr>
          <w:lang w:val="fr-FR"/>
        </w:rPr>
      </w:pPr>
    </w:p>
    <w:p w:rsidR="005E35FB" w:rsidRPr="002C7134" w:rsidRDefault="00DF0D32" w:rsidP="000B22E4">
      <w:pPr>
        <w:jc w:val="both"/>
        <w:rPr>
          <w:lang w:val="fr-FR"/>
        </w:rPr>
      </w:pPr>
      <w:r>
        <w:rPr>
          <w:lang w:val="fr-FR"/>
        </w:rPr>
        <w:t>L</w:t>
      </w:r>
      <w:r w:rsidR="005E35FB" w:rsidRPr="002C7134">
        <w:rPr>
          <w:lang w:val="fr-FR"/>
        </w:rPr>
        <w:t>’autorisation unique définie à l’article 1er, point 13), du règlement (CEE)</w:t>
      </w:r>
      <w:r w:rsidR="000B22E4" w:rsidRPr="002C7134">
        <w:rPr>
          <w:lang w:val="fr-FR"/>
        </w:rPr>
        <w:t xml:space="preserve"> </w:t>
      </w:r>
      <w:r>
        <w:rPr>
          <w:lang w:val="fr-FR"/>
        </w:rPr>
        <w:t>No 2454/93 de la Commission,</w:t>
      </w:r>
      <w:r w:rsidR="005E35FB" w:rsidRPr="002C7134">
        <w:rPr>
          <w:lang w:val="fr-FR"/>
        </w:rPr>
        <w:t xml:space="preserve"> prévoit, lorsque des marchandises sont déclarées pour la mise en</w:t>
      </w:r>
      <w:r w:rsidR="00B516B0" w:rsidRPr="002C7134">
        <w:rPr>
          <w:lang w:val="fr-FR"/>
        </w:rPr>
        <w:t xml:space="preserve"> </w:t>
      </w:r>
      <w:r w:rsidR="005E35FB" w:rsidRPr="002C7134">
        <w:rPr>
          <w:lang w:val="fr-FR"/>
        </w:rPr>
        <w:t>libre pratiq</w:t>
      </w:r>
      <w:r w:rsidR="003644C5">
        <w:rPr>
          <w:lang w:val="fr-FR"/>
        </w:rPr>
        <w:t>ue dans un Etat membre de l’UE</w:t>
      </w:r>
      <w:r w:rsidR="005E35FB" w:rsidRPr="002C7134">
        <w:rPr>
          <w:lang w:val="fr-FR"/>
        </w:rPr>
        <w:t>, les mêmes avantages pour la période qui précède la mise</w:t>
      </w:r>
      <w:r w:rsidR="00B516B0" w:rsidRPr="002C7134">
        <w:rPr>
          <w:lang w:val="fr-FR"/>
        </w:rPr>
        <w:t xml:space="preserve"> </w:t>
      </w:r>
      <w:r w:rsidR="005E35FB" w:rsidRPr="002C7134">
        <w:rPr>
          <w:lang w:val="fr-FR"/>
        </w:rPr>
        <w:t>en applicatio</w:t>
      </w:r>
      <w:r>
        <w:rPr>
          <w:lang w:val="fr-FR"/>
        </w:rPr>
        <w:t>n du code des douanes modernisé. L</w:t>
      </w:r>
      <w:r w:rsidR="005E35FB" w:rsidRPr="002C7134">
        <w:rPr>
          <w:lang w:val="fr-FR"/>
        </w:rPr>
        <w:t>’arrangement administratif concernant l’attribution des</w:t>
      </w:r>
      <w:r w:rsidR="00B516B0" w:rsidRPr="002C7134">
        <w:rPr>
          <w:lang w:val="fr-FR"/>
        </w:rPr>
        <w:t xml:space="preserve"> </w:t>
      </w:r>
      <w:r w:rsidR="005E35FB" w:rsidRPr="002C7134">
        <w:rPr>
          <w:lang w:val="fr-FR"/>
        </w:rPr>
        <w:t>frais de perception nationaux qui sont conservés</w:t>
      </w:r>
      <w:r>
        <w:rPr>
          <w:lang w:val="fr-FR"/>
        </w:rPr>
        <w:t xml:space="preserve"> </w:t>
      </w:r>
      <w:r w:rsidR="005E35FB" w:rsidRPr="002C7134">
        <w:rPr>
          <w:lang w:val="fr-FR"/>
        </w:rPr>
        <w:t>a été adopté et s’applique à compter du 1er janvier 2009</w:t>
      </w:r>
      <w:r w:rsidR="00B516B0" w:rsidRPr="002C7134">
        <w:rPr>
          <w:lang w:val="fr-FR"/>
        </w:rPr>
        <w:t xml:space="preserve"> </w:t>
      </w:r>
      <w:r w:rsidR="005E35FB" w:rsidRPr="002C7134">
        <w:rPr>
          <w:lang w:val="fr-FR"/>
        </w:rPr>
        <w:t>pour les Etats membres participants, dont le Luxembourg.</w:t>
      </w:r>
    </w:p>
    <w:p w:rsidR="0097241B" w:rsidRPr="002C7134" w:rsidRDefault="0097241B" w:rsidP="000B22E4">
      <w:pPr>
        <w:jc w:val="both"/>
        <w:rPr>
          <w:lang w:val="fr-FR"/>
        </w:rPr>
      </w:pPr>
    </w:p>
    <w:p w:rsidR="005E35FB" w:rsidRPr="002C7134" w:rsidRDefault="005E35FB" w:rsidP="001A1029">
      <w:pPr>
        <w:jc w:val="both"/>
        <w:rPr>
          <w:lang w:val="fr-FR"/>
        </w:rPr>
      </w:pPr>
      <w:r w:rsidRPr="002C7134">
        <w:rPr>
          <w:lang w:val="fr-FR"/>
        </w:rPr>
        <w:t>Cet arrangement administratif prévoit la redistribution partielle, d’un montant égal à 50 pour cent,</w:t>
      </w:r>
      <w:r w:rsidR="00B516B0" w:rsidRPr="002C7134">
        <w:rPr>
          <w:lang w:val="fr-FR"/>
        </w:rPr>
        <w:t xml:space="preserve"> </w:t>
      </w:r>
      <w:r w:rsidRPr="002C7134">
        <w:rPr>
          <w:lang w:val="fr-FR"/>
        </w:rPr>
        <w:t>des frais de perception conservés par l’Etat membre participant qui délivre l’autorisation à l’Etat</w:t>
      </w:r>
      <w:r w:rsidR="00B516B0" w:rsidRPr="002C7134">
        <w:rPr>
          <w:lang w:val="fr-FR"/>
        </w:rPr>
        <w:t xml:space="preserve"> </w:t>
      </w:r>
      <w:r w:rsidRPr="002C7134">
        <w:rPr>
          <w:lang w:val="fr-FR"/>
        </w:rPr>
        <w:t>membre</w:t>
      </w:r>
      <w:r w:rsidR="009974D8">
        <w:rPr>
          <w:lang w:val="fr-FR"/>
        </w:rPr>
        <w:t xml:space="preserve"> participant prêtant assistance</w:t>
      </w:r>
      <w:r w:rsidRPr="002C7134">
        <w:rPr>
          <w:lang w:val="fr-FR"/>
        </w:rPr>
        <w:t xml:space="preserve"> où les marchandises sont présentées à la douane.</w:t>
      </w:r>
    </w:p>
    <w:p w:rsidR="0097241B" w:rsidRPr="002C7134" w:rsidRDefault="0097241B" w:rsidP="001A1029">
      <w:pPr>
        <w:jc w:val="both"/>
        <w:rPr>
          <w:lang w:val="fr-LU"/>
        </w:rPr>
      </w:pPr>
    </w:p>
    <w:p w:rsidR="005E35FB" w:rsidRPr="002C7134" w:rsidRDefault="00F7591C" w:rsidP="001A1029">
      <w:pPr>
        <w:jc w:val="both"/>
        <w:rPr>
          <w:lang w:val="fr-LU"/>
        </w:rPr>
      </w:pPr>
      <w:r w:rsidRPr="002C7134">
        <w:rPr>
          <w:lang w:val="fr-LU"/>
        </w:rPr>
        <w:lastRenderedPageBreak/>
        <w:t xml:space="preserve">Il est encore précisé </w:t>
      </w:r>
      <w:r w:rsidR="003C3D8C" w:rsidRPr="002C7134">
        <w:rPr>
          <w:lang w:val="fr-LU"/>
        </w:rPr>
        <w:t>que le Luxembourg s’est d’ores et déjà engagé dans un arrangement</w:t>
      </w:r>
      <w:r w:rsidR="000B22E4" w:rsidRPr="002C7134">
        <w:rPr>
          <w:lang w:val="fr-LU"/>
        </w:rPr>
        <w:t xml:space="preserve"> </w:t>
      </w:r>
      <w:r w:rsidR="003C3D8C" w:rsidRPr="002C7134">
        <w:rPr>
          <w:lang w:val="fr-LU"/>
        </w:rPr>
        <w:t xml:space="preserve">administratif avec les autorités douanières allemandes </w:t>
      </w:r>
      <w:r w:rsidR="005E35FB" w:rsidRPr="002C7134">
        <w:rPr>
          <w:lang w:val="fr-LU"/>
        </w:rPr>
        <w:t>prévoyant notamment le partage 50/50 des frais de perception qui sont retenus lors de la mise</w:t>
      </w:r>
      <w:r w:rsidR="00B516B0" w:rsidRPr="002C7134">
        <w:rPr>
          <w:lang w:val="fr-LU"/>
        </w:rPr>
        <w:t xml:space="preserve"> </w:t>
      </w:r>
      <w:r w:rsidR="005E35FB" w:rsidRPr="002C7134">
        <w:rPr>
          <w:lang w:val="fr-LU"/>
        </w:rPr>
        <w:t>à la</w:t>
      </w:r>
      <w:r w:rsidR="003644C5">
        <w:rPr>
          <w:lang w:val="fr-LU"/>
        </w:rPr>
        <w:t xml:space="preserve"> disposition du budget de l’UE</w:t>
      </w:r>
      <w:r w:rsidR="005E35FB" w:rsidRPr="002C7134">
        <w:rPr>
          <w:lang w:val="fr-LU"/>
        </w:rPr>
        <w:t xml:space="preserve"> des ressources propres traditionnelles.</w:t>
      </w:r>
    </w:p>
    <w:p w:rsidR="00B516B0" w:rsidRPr="002C7134" w:rsidRDefault="00B516B0" w:rsidP="001A1029">
      <w:pPr>
        <w:jc w:val="both"/>
        <w:rPr>
          <w:lang w:val="fr-FR"/>
        </w:rPr>
      </w:pPr>
    </w:p>
    <w:p w:rsidR="005E35FB" w:rsidRPr="002C7134" w:rsidRDefault="005E35FB" w:rsidP="001A1029">
      <w:pPr>
        <w:jc w:val="both"/>
        <w:rPr>
          <w:lang w:val="fr-FR"/>
        </w:rPr>
      </w:pPr>
      <w:r w:rsidRPr="002C7134">
        <w:rPr>
          <w:lang w:val="fr-FR"/>
        </w:rPr>
        <w:t>Partant, la ratification de la présente Convention constitue la suite logique de l’approbation et de la</w:t>
      </w:r>
      <w:r w:rsidR="00B516B0" w:rsidRPr="002C7134">
        <w:rPr>
          <w:lang w:val="fr-FR"/>
        </w:rPr>
        <w:t xml:space="preserve"> </w:t>
      </w:r>
      <w:r w:rsidRPr="002C7134">
        <w:rPr>
          <w:lang w:val="fr-FR"/>
        </w:rPr>
        <w:t>signature, par les autorités luxembourgeoises directement concernées, d’arrangements administratifs</w:t>
      </w:r>
      <w:r w:rsidR="00B516B0" w:rsidRPr="002C7134">
        <w:rPr>
          <w:lang w:val="fr-FR"/>
        </w:rPr>
        <w:t xml:space="preserve"> </w:t>
      </w:r>
      <w:r w:rsidRPr="002C7134">
        <w:rPr>
          <w:lang w:val="fr-FR"/>
        </w:rPr>
        <w:t>se situant dans le même contexte que la Convention.</w:t>
      </w:r>
    </w:p>
    <w:p w:rsidR="00B516B0" w:rsidRDefault="00B516B0" w:rsidP="00B516B0">
      <w:pPr>
        <w:rPr>
          <w:lang w:val="fr-FR"/>
        </w:rPr>
      </w:pPr>
    </w:p>
    <w:p w:rsidR="00573341" w:rsidRPr="006C5D5F" w:rsidRDefault="00573341" w:rsidP="006C5D5F">
      <w:pPr>
        <w:jc w:val="both"/>
        <w:rPr>
          <w:rFonts w:eastAsia="TTA20D4008t00"/>
          <w:lang w:val="fr-FR"/>
        </w:rPr>
      </w:pPr>
    </w:p>
    <w:sectPr w:rsidR="00573341" w:rsidRPr="006C5D5F" w:rsidSect="00651F9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42" w:rsidRDefault="001C5742" w:rsidP="00AA5039">
      <w:r>
        <w:separator/>
      </w:r>
    </w:p>
  </w:endnote>
  <w:endnote w:type="continuationSeparator" w:id="0">
    <w:p w:rsidR="001C5742" w:rsidRDefault="001C5742" w:rsidP="00AA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A20D40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39" w:rsidRDefault="00AA5039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1839">
      <w:rPr>
        <w:noProof/>
      </w:rPr>
      <w:t>1</w:t>
    </w:r>
    <w:r>
      <w:fldChar w:fldCharType="end"/>
    </w:r>
  </w:p>
  <w:p w:rsidR="00AA5039" w:rsidRDefault="00AA50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42" w:rsidRDefault="001C5742" w:rsidP="00AA5039">
      <w:r>
        <w:separator/>
      </w:r>
    </w:p>
  </w:footnote>
  <w:footnote w:type="continuationSeparator" w:id="0">
    <w:p w:rsidR="001C5742" w:rsidRDefault="001C5742" w:rsidP="00AA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072"/>
    <w:rsid w:val="000B22E4"/>
    <w:rsid w:val="000C3F46"/>
    <w:rsid w:val="000D7E3B"/>
    <w:rsid w:val="00117266"/>
    <w:rsid w:val="00187AB8"/>
    <w:rsid w:val="00191004"/>
    <w:rsid w:val="001A1029"/>
    <w:rsid w:val="001C5742"/>
    <w:rsid w:val="00223503"/>
    <w:rsid w:val="002246C0"/>
    <w:rsid w:val="0024758C"/>
    <w:rsid w:val="00256DF1"/>
    <w:rsid w:val="00266897"/>
    <w:rsid w:val="00295524"/>
    <w:rsid w:val="002C7134"/>
    <w:rsid w:val="002F14B5"/>
    <w:rsid w:val="002F386B"/>
    <w:rsid w:val="00300809"/>
    <w:rsid w:val="00305AEA"/>
    <w:rsid w:val="00344B46"/>
    <w:rsid w:val="00347844"/>
    <w:rsid w:val="003644C5"/>
    <w:rsid w:val="003B0170"/>
    <w:rsid w:val="003C3D8C"/>
    <w:rsid w:val="004A2D2F"/>
    <w:rsid w:val="00573341"/>
    <w:rsid w:val="00597443"/>
    <w:rsid w:val="005B5A91"/>
    <w:rsid w:val="005E35FB"/>
    <w:rsid w:val="00645DC1"/>
    <w:rsid w:val="00651F9A"/>
    <w:rsid w:val="006A45F9"/>
    <w:rsid w:val="006C5D5F"/>
    <w:rsid w:val="006C6C0B"/>
    <w:rsid w:val="00751839"/>
    <w:rsid w:val="00760E97"/>
    <w:rsid w:val="00842974"/>
    <w:rsid w:val="00866500"/>
    <w:rsid w:val="00896CAF"/>
    <w:rsid w:val="008B47D1"/>
    <w:rsid w:val="00962BF6"/>
    <w:rsid w:val="009663FA"/>
    <w:rsid w:val="0097241B"/>
    <w:rsid w:val="009775A2"/>
    <w:rsid w:val="009949A6"/>
    <w:rsid w:val="009974D8"/>
    <w:rsid w:val="00A70501"/>
    <w:rsid w:val="00AA5039"/>
    <w:rsid w:val="00AA7428"/>
    <w:rsid w:val="00AC2D87"/>
    <w:rsid w:val="00AC4D4E"/>
    <w:rsid w:val="00B076C4"/>
    <w:rsid w:val="00B516B0"/>
    <w:rsid w:val="00B97AC4"/>
    <w:rsid w:val="00BB3997"/>
    <w:rsid w:val="00BF7E60"/>
    <w:rsid w:val="00C4663F"/>
    <w:rsid w:val="00C578E7"/>
    <w:rsid w:val="00C765D3"/>
    <w:rsid w:val="00CD0C93"/>
    <w:rsid w:val="00D527F0"/>
    <w:rsid w:val="00DE317E"/>
    <w:rsid w:val="00DF0D32"/>
    <w:rsid w:val="00E95509"/>
    <w:rsid w:val="00EA058A"/>
    <w:rsid w:val="00ED6BCE"/>
    <w:rsid w:val="00F21887"/>
    <w:rsid w:val="00F40D38"/>
    <w:rsid w:val="00F4384D"/>
    <w:rsid w:val="00F6201C"/>
    <w:rsid w:val="00F7591C"/>
    <w:rsid w:val="00F83072"/>
    <w:rsid w:val="00F90A45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D78188-CB88-4459-BD9F-82575EFE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E7"/>
    <w:rPr>
      <w:sz w:val="24"/>
      <w:szCs w:val="24"/>
      <w:lang w:val="de-DE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26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2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26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2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266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266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266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266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266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1726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1726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1726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1726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1726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11726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1726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17266"/>
    <w:rPr>
      <w:rFonts w:ascii="Times New Roman" w:eastAsia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11726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17266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266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11"/>
    <w:rsid w:val="00117266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17266"/>
    <w:rPr>
      <w:b/>
      <w:bCs/>
    </w:rPr>
  </w:style>
  <w:style w:type="character" w:styleId="Accentuation">
    <w:name w:val="Emphasis"/>
    <w:basedOn w:val="Policepardfaut"/>
    <w:uiPriority w:val="20"/>
    <w:qFormat/>
    <w:rsid w:val="00117266"/>
    <w:rPr>
      <w:rFonts w:ascii="Times New Roman" w:hAnsi="Times New Roman"/>
      <w:b/>
      <w:i/>
      <w:iCs/>
    </w:rPr>
  </w:style>
  <w:style w:type="paragraph" w:styleId="Sansinterligne">
    <w:name w:val="No Spacing"/>
    <w:basedOn w:val="Normal"/>
    <w:uiPriority w:val="1"/>
    <w:qFormat/>
    <w:rsid w:val="00117266"/>
    <w:rPr>
      <w:szCs w:val="32"/>
    </w:rPr>
  </w:style>
  <w:style w:type="paragraph" w:styleId="Paragraphedeliste">
    <w:name w:val="List Paragraph"/>
    <w:basedOn w:val="Normal"/>
    <w:uiPriority w:val="34"/>
    <w:qFormat/>
    <w:rsid w:val="0011726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1726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17266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266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266"/>
    <w:rPr>
      <w:b/>
      <w:i/>
      <w:sz w:val="24"/>
    </w:rPr>
  </w:style>
  <w:style w:type="character" w:styleId="Emphaseple">
    <w:name w:val="Subtle Emphasis"/>
    <w:uiPriority w:val="19"/>
    <w:qFormat/>
    <w:rsid w:val="00117266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117266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11726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11726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117266"/>
    <w:rPr>
      <w:rFonts w:ascii="Times New Roman" w:eastAsia="Times New Roman" w:hAnsi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7266"/>
    <w:pPr>
      <w:outlineLvl w:val="9"/>
    </w:pPr>
  </w:style>
  <w:style w:type="paragraph" w:styleId="Textebrut">
    <w:name w:val="Plain Text"/>
    <w:basedOn w:val="Normal"/>
    <w:link w:val="TextebrutCar"/>
    <w:rsid w:val="002F386B"/>
    <w:pPr>
      <w:jc w:val="both"/>
    </w:pPr>
    <w:rPr>
      <w:rFonts w:ascii="Courier New" w:hAnsi="Courier New"/>
      <w:sz w:val="20"/>
      <w:szCs w:val="20"/>
      <w:lang w:val="fr-FR" w:eastAsia="en-US" w:bidi="en-US"/>
    </w:rPr>
  </w:style>
  <w:style w:type="character" w:customStyle="1" w:styleId="TextebrutCar">
    <w:name w:val="Texte brut Car"/>
    <w:basedOn w:val="Policepardfaut"/>
    <w:link w:val="Textebrut"/>
    <w:rsid w:val="002F386B"/>
    <w:rPr>
      <w:rFonts w:ascii="Courier New" w:hAnsi="Courier New"/>
      <w:lang w:val="fr-FR" w:eastAsia="en-US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AA50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A5039"/>
    <w:rPr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uiPriority w:val="99"/>
    <w:unhideWhenUsed/>
    <w:rsid w:val="00AA50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5039"/>
    <w:rPr>
      <w:sz w:val="24"/>
      <w:szCs w:val="24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DP6212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6212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/sftpecos/Dossiers_parlementaires/6212/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A4F841A-631D-4996-905A-AB0422DF7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F4859-DB53-423F-BFFC-45CE6CA1EEE8}"/>
</file>

<file path=customXml/itemProps3.xml><?xml version="1.0" encoding="utf-8"?>
<ds:datastoreItem xmlns:ds="http://schemas.openxmlformats.org/officeDocument/2006/customXml" ds:itemID="{EBEFA7F5-1449-4CB5-8E11-A31F06C3AD47}"/>
</file>

<file path=customXml/itemProps4.xml><?xml version="1.0" encoding="utf-8"?>
<ds:datastoreItem xmlns:ds="http://schemas.openxmlformats.org/officeDocument/2006/customXml" ds:itemID="{215CBC1A-5F8F-4662-B9AD-B1171F9B8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2011-05-02T08:42:00Z</cp:lastPrinted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