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25" w:rsidRPr="00E90DEA" w:rsidRDefault="001A7925" w:rsidP="001A7925">
      <w:pPr>
        <w:spacing w:after="120"/>
        <w:jc w:val="center"/>
        <w:rPr>
          <w:rFonts w:ascii="Arial" w:hAnsi="Arial" w:cs="Arial"/>
          <w:b/>
          <w:sz w:val="28"/>
          <w:szCs w:val="28"/>
        </w:rPr>
      </w:pPr>
      <w:bookmarkStart w:id="0" w:name="_GoBack"/>
      <w:bookmarkEnd w:id="0"/>
      <w:r w:rsidRPr="00E90DEA">
        <w:rPr>
          <w:rFonts w:ascii="Arial" w:hAnsi="Arial" w:cs="Arial"/>
          <w:b/>
          <w:sz w:val="28"/>
          <w:szCs w:val="28"/>
        </w:rPr>
        <w:t>N</w:t>
      </w:r>
      <w:r w:rsidRPr="00E90DEA">
        <w:rPr>
          <w:rFonts w:ascii="Arial" w:hAnsi="Arial" w:cs="Arial"/>
          <w:b/>
          <w:sz w:val="28"/>
          <w:szCs w:val="28"/>
          <w:vertAlign w:val="superscript"/>
        </w:rPr>
        <w:t>o</w:t>
      </w:r>
      <w:r w:rsidRPr="00E90DEA">
        <w:rPr>
          <w:rFonts w:ascii="Arial" w:hAnsi="Arial" w:cs="Arial"/>
          <w:b/>
          <w:sz w:val="28"/>
          <w:szCs w:val="28"/>
        </w:rPr>
        <w:t xml:space="preserve"> 6207</w:t>
      </w:r>
    </w:p>
    <w:p w:rsidR="001A7925" w:rsidRPr="00E90DEA" w:rsidRDefault="001A7925" w:rsidP="001A7925">
      <w:pPr>
        <w:jc w:val="center"/>
        <w:rPr>
          <w:rFonts w:ascii="Arial" w:hAnsi="Arial" w:cs="Arial"/>
          <w:u w:val="single"/>
        </w:rPr>
      </w:pPr>
      <w:r w:rsidRPr="00E90DEA">
        <w:rPr>
          <w:rFonts w:ascii="Arial" w:hAnsi="Arial" w:cs="Arial"/>
          <w:u w:val="single"/>
        </w:rPr>
        <w:t>Résumé</w:t>
      </w:r>
    </w:p>
    <w:p w:rsidR="001A7925" w:rsidRPr="00E90DEA" w:rsidRDefault="001A7925" w:rsidP="001A7925">
      <w:pPr>
        <w:rPr>
          <w:rFonts w:ascii="Arial" w:hAnsi="Arial" w:cs="Arial"/>
        </w:rPr>
      </w:pPr>
    </w:p>
    <w:p w:rsidR="00941B0D" w:rsidRPr="00E90DEA" w:rsidRDefault="001A7925" w:rsidP="001A7925">
      <w:pPr>
        <w:rPr>
          <w:rFonts w:ascii="Arial" w:hAnsi="Arial" w:cs="Arial"/>
        </w:rPr>
      </w:pPr>
      <w:r w:rsidRPr="00E90DEA">
        <w:rPr>
          <w:rFonts w:ascii="Arial" w:hAnsi="Arial" w:cs="Arial"/>
        </w:rPr>
        <w:t xml:space="preserve">Le présent projet de loi </w:t>
      </w:r>
      <w:r w:rsidR="00941B0D" w:rsidRPr="00E90DEA">
        <w:rPr>
          <w:rFonts w:ascii="Arial" w:hAnsi="Arial" w:cs="Arial"/>
        </w:rPr>
        <w:t xml:space="preserve">entend approuver les modifications apportées par le Protocole du 22 juillet 2010 à la </w:t>
      </w:r>
      <w:r w:rsidR="00941B0D" w:rsidRPr="00E90DEA">
        <w:rPr>
          <w:rFonts w:ascii="Arial" w:hAnsi="Arial" w:cs="Arial"/>
          <w:iCs/>
        </w:rPr>
        <w:t xml:space="preserve">Convention Benelux en matière de propriété intellectuelle </w:t>
      </w:r>
      <w:r w:rsidR="00941B0D" w:rsidRPr="00E90DEA">
        <w:rPr>
          <w:rFonts w:ascii="Arial" w:hAnsi="Arial" w:cs="Arial"/>
        </w:rPr>
        <w:t xml:space="preserve">(marques et dessins ou modèles) entrée en </w:t>
      </w:r>
      <w:r w:rsidRPr="00E90DEA">
        <w:rPr>
          <w:rFonts w:ascii="Arial" w:hAnsi="Arial" w:cs="Arial"/>
        </w:rPr>
        <w:t>vigueur le 1</w:t>
      </w:r>
      <w:r w:rsidRPr="00E90DEA">
        <w:rPr>
          <w:rFonts w:ascii="Arial" w:hAnsi="Arial" w:cs="Arial"/>
          <w:vertAlign w:val="superscript"/>
        </w:rPr>
        <w:t>er</w:t>
      </w:r>
      <w:r w:rsidRPr="00E90DEA">
        <w:rPr>
          <w:rFonts w:ascii="Arial" w:hAnsi="Arial" w:cs="Arial"/>
        </w:rPr>
        <w:t xml:space="preserve"> septembre 2006</w:t>
      </w:r>
      <w:r w:rsidR="00941B0D" w:rsidRPr="00E90DEA">
        <w:rPr>
          <w:rFonts w:ascii="Arial" w:hAnsi="Arial" w:cs="Arial"/>
        </w:rPr>
        <w:t xml:space="preserve"> (ci-après</w:t>
      </w:r>
      <w:r w:rsidR="003B78E3" w:rsidRPr="00E90DEA">
        <w:rPr>
          <w:rFonts w:ascii="Arial" w:hAnsi="Arial" w:cs="Arial"/>
        </w:rPr>
        <w:t> :</w:t>
      </w:r>
      <w:r w:rsidR="00941B0D" w:rsidRPr="00E90DEA">
        <w:rPr>
          <w:rFonts w:ascii="Arial" w:hAnsi="Arial" w:cs="Arial"/>
        </w:rPr>
        <w:t xml:space="preserve"> </w:t>
      </w:r>
      <w:proofErr w:type="spellStart"/>
      <w:r w:rsidR="00941B0D" w:rsidRPr="00E90DEA">
        <w:rPr>
          <w:rFonts w:ascii="Arial" w:hAnsi="Arial" w:cs="Arial"/>
        </w:rPr>
        <w:t>CBPI</w:t>
      </w:r>
      <w:proofErr w:type="spellEnd"/>
      <w:r w:rsidR="00941B0D" w:rsidRPr="00E90DEA">
        <w:rPr>
          <w:rFonts w:ascii="Arial" w:hAnsi="Arial" w:cs="Arial"/>
        </w:rPr>
        <w:t>).</w:t>
      </w:r>
    </w:p>
    <w:p w:rsidR="00941B0D" w:rsidRPr="00E90DEA" w:rsidRDefault="00941B0D" w:rsidP="001A7925">
      <w:pPr>
        <w:rPr>
          <w:rFonts w:ascii="Arial" w:hAnsi="Arial" w:cs="Arial"/>
        </w:rPr>
      </w:pPr>
    </w:p>
    <w:p w:rsidR="001A7925" w:rsidRPr="00E90DEA" w:rsidRDefault="001A7925" w:rsidP="001A7925">
      <w:pPr>
        <w:autoSpaceDE w:val="0"/>
        <w:autoSpaceDN w:val="0"/>
        <w:adjustRightInd w:val="0"/>
        <w:rPr>
          <w:rFonts w:ascii="Arial" w:hAnsi="Arial" w:cs="Arial"/>
        </w:rPr>
      </w:pPr>
      <w:r w:rsidRPr="00E90DEA">
        <w:rPr>
          <w:rFonts w:ascii="Arial" w:hAnsi="Arial" w:cs="Arial"/>
        </w:rPr>
        <w:t xml:space="preserve">Les </w:t>
      </w:r>
      <w:r w:rsidR="005B3026" w:rsidRPr="00E90DEA">
        <w:rPr>
          <w:rFonts w:ascii="Arial" w:hAnsi="Arial" w:cs="Arial"/>
        </w:rPr>
        <w:t xml:space="preserve">quatre </w:t>
      </w:r>
      <w:r w:rsidRPr="00E90DEA">
        <w:rPr>
          <w:rFonts w:ascii="Arial" w:hAnsi="Arial" w:cs="Arial"/>
        </w:rPr>
        <w:t>principales modifications se résument comme suit:</w:t>
      </w:r>
    </w:p>
    <w:p w:rsidR="001A7925" w:rsidRPr="00E90DEA" w:rsidRDefault="001A7925" w:rsidP="001A7925">
      <w:pPr>
        <w:autoSpaceDE w:val="0"/>
        <w:autoSpaceDN w:val="0"/>
        <w:adjustRightInd w:val="0"/>
        <w:rPr>
          <w:rFonts w:ascii="Arial" w:hAnsi="Arial" w:cs="Arial"/>
        </w:rPr>
      </w:pPr>
    </w:p>
    <w:p w:rsidR="001A7925" w:rsidRPr="00E90DEA" w:rsidRDefault="001A7925" w:rsidP="003B78E3">
      <w:pPr>
        <w:pStyle w:val="Paragraphedeliste"/>
        <w:numPr>
          <w:ilvl w:val="0"/>
          <w:numId w:val="2"/>
        </w:numPr>
        <w:autoSpaceDE w:val="0"/>
        <w:autoSpaceDN w:val="0"/>
        <w:adjustRightInd w:val="0"/>
        <w:spacing w:after="0" w:line="240" w:lineRule="auto"/>
        <w:ind w:left="360"/>
        <w:jc w:val="both"/>
        <w:rPr>
          <w:rFonts w:ascii="Arial" w:hAnsi="Arial" w:cs="Arial"/>
          <w:lang w:val="fr-FR"/>
        </w:rPr>
      </w:pPr>
      <w:r w:rsidRPr="00E90DEA">
        <w:rPr>
          <w:rFonts w:ascii="Arial" w:hAnsi="Arial" w:cs="Arial"/>
          <w:lang w:val="fr-FR"/>
        </w:rPr>
        <w:t>renonciation à la création d’un registre des mandataires agréés</w:t>
      </w:r>
    </w:p>
    <w:p w:rsidR="001A7925" w:rsidRPr="00E90DEA" w:rsidRDefault="001A7925" w:rsidP="003B78E3">
      <w:pPr>
        <w:autoSpaceDE w:val="0"/>
        <w:autoSpaceDN w:val="0"/>
        <w:adjustRightInd w:val="0"/>
        <w:rPr>
          <w:rFonts w:ascii="Arial" w:hAnsi="Arial" w:cs="Arial"/>
          <w:sz w:val="10"/>
          <w:szCs w:val="10"/>
        </w:rPr>
      </w:pPr>
    </w:p>
    <w:p w:rsidR="001A7925" w:rsidRPr="00E90DEA" w:rsidRDefault="005B3026" w:rsidP="003B78E3">
      <w:pPr>
        <w:ind w:left="360"/>
        <w:rPr>
          <w:rFonts w:ascii="Arial" w:hAnsi="Arial" w:cs="Arial"/>
        </w:rPr>
      </w:pPr>
      <w:r w:rsidRPr="00E90DEA">
        <w:rPr>
          <w:rFonts w:ascii="Arial" w:hAnsi="Arial" w:cs="Arial"/>
        </w:rPr>
        <w:t>Des dispositions visant l</w:t>
      </w:r>
      <w:r w:rsidR="001A7925" w:rsidRPr="00E90DEA">
        <w:rPr>
          <w:rFonts w:ascii="Arial" w:hAnsi="Arial" w:cs="Arial"/>
        </w:rPr>
        <w:t xml:space="preserve">’introduction d’un registre des mandataires agréés ont été adoptées lors de la dernière modification apportée aux lois uniformes Benelux. Elles n’ont </w:t>
      </w:r>
      <w:r w:rsidRPr="00E90DEA">
        <w:rPr>
          <w:rFonts w:ascii="Arial" w:hAnsi="Arial" w:cs="Arial"/>
        </w:rPr>
        <w:t>toutefois jamais</w:t>
      </w:r>
      <w:r w:rsidR="001A7925" w:rsidRPr="00E90DEA">
        <w:rPr>
          <w:rFonts w:ascii="Arial" w:hAnsi="Arial" w:cs="Arial"/>
        </w:rPr>
        <w:t xml:space="preserve"> été mises</w:t>
      </w:r>
      <w:r w:rsidRPr="00E90DEA">
        <w:rPr>
          <w:rFonts w:ascii="Arial" w:hAnsi="Arial" w:cs="Arial"/>
        </w:rPr>
        <w:t xml:space="preserve"> en vigueur </w:t>
      </w:r>
      <w:r w:rsidR="001A7925" w:rsidRPr="00E90DEA">
        <w:rPr>
          <w:rFonts w:ascii="Arial" w:hAnsi="Arial" w:cs="Arial"/>
        </w:rPr>
        <w:t xml:space="preserve">parce que l’accessibilité du registre à tous les intéressés dans l’ensemble du Benelux n’était pas suffisamment garantie. Par ailleurs, </w:t>
      </w:r>
      <w:r w:rsidR="00943E50" w:rsidRPr="00E90DEA">
        <w:rPr>
          <w:rFonts w:ascii="Arial" w:hAnsi="Arial" w:cs="Arial"/>
        </w:rPr>
        <w:t xml:space="preserve">certaines </w:t>
      </w:r>
      <w:r w:rsidR="001A7925" w:rsidRPr="00E90DEA">
        <w:rPr>
          <w:rFonts w:ascii="Arial" w:hAnsi="Arial" w:cs="Arial"/>
        </w:rPr>
        <w:t>évolution</w:t>
      </w:r>
      <w:r w:rsidR="00943E50" w:rsidRPr="00E90DEA">
        <w:rPr>
          <w:rFonts w:ascii="Arial" w:hAnsi="Arial" w:cs="Arial"/>
        </w:rPr>
        <w:t xml:space="preserve">s </w:t>
      </w:r>
      <w:r w:rsidR="001A7925" w:rsidRPr="00E90DEA">
        <w:rPr>
          <w:rFonts w:ascii="Arial" w:hAnsi="Arial" w:cs="Arial"/>
        </w:rPr>
        <w:t xml:space="preserve">au niveau communautaire </w:t>
      </w:r>
      <w:r w:rsidR="00943E50" w:rsidRPr="00E90DEA">
        <w:rPr>
          <w:rFonts w:ascii="Arial" w:hAnsi="Arial" w:cs="Arial"/>
        </w:rPr>
        <w:t xml:space="preserve">font qu’il a été </w:t>
      </w:r>
      <w:r w:rsidR="003B78E3" w:rsidRPr="00E90DEA">
        <w:rPr>
          <w:rFonts w:ascii="Arial" w:hAnsi="Arial" w:cs="Arial"/>
        </w:rPr>
        <w:t xml:space="preserve">finalement </w:t>
      </w:r>
      <w:r w:rsidR="00943E50" w:rsidRPr="00E90DEA">
        <w:rPr>
          <w:rFonts w:ascii="Arial" w:hAnsi="Arial" w:cs="Arial"/>
        </w:rPr>
        <w:t>p</w:t>
      </w:r>
      <w:r w:rsidR="001A7925" w:rsidRPr="00E90DEA">
        <w:rPr>
          <w:rFonts w:ascii="Arial" w:hAnsi="Arial" w:cs="Arial"/>
        </w:rPr>
        <w:t>roposé aux Gouvernements de supprim</w:t>
      </w:r>
      <w:r w:rsidR="003B78E3" w:rsidRPr="00E90DEA">
        <w:rPr>
          <w:rFonts w:ascii="Arial" w:hAnsi="Arial" w:cs="Arial"/>
        </w:rPr>
        <w:t xml:space="preserve">er </w:t>
      </w:r>
      <w:r w:rsidR="001A7925" w:rsidRPr="00E90DEA">
        <w:rPr>
          <w:rFonts w:ascii="Arial" w:hAnsi="Arial" w:cs="Arial"/>
        </w:rPr>
        <w:t>les dispositions y relatives.</w:t>
      </w:r>
    </w:p>
    <w:p w:rsidR="001A7925" w:rsidRPr="00E90DEA" w:rsidRDefault="001A7925" w:rsidP="003B78E3">
      <w:pPr>
        <w:autoSpaceDE w:val="0"/>
        <w:autoSpaceDN w:val="0"/>
        <w:adjustRightInd w:val="0"/>
        <w:rPr>
          <w:rFonts w:ascii="Arial" w:hAnsi="Arial" w:cs="Arial"/>
        </w:rPr>
      </w:pPr>
    </w:p>
    <w:p w:rsidR="001A7925" w:rsidRPr="00E90DEA" w:rsidRDefault="001A7925" w:rsidP="003B78E3">
      <w:pPr>
        <w:pStyle w:val="Paragraphedeliste"/>
        <w:numPr>
          <w:ilvl w:val="0"/>
          <w:numId w:val="2"/>
        </w:numPr>
        <w:autoSpaceDE w:val="0"/>
        <w:autoSpaceDN w:val="0"/>
        <w:adjustRightInd w:val="0"/>
        <w:spacing w:after="0" w:line="240" w:lineRule="auto"/>
        <w:ind w:left="360"/>
        <w:jc w:val="both"/>
        <w:rPr>
          <w:rFonts w:ascii="Arial" w:hAnsi="Arial" w:cs="Arial"/>
          <w:lang w:val="fr-FR"/>
        </w:rPr>
      </w:pPr>
      <w:r w:rsidRPr="00E90DEA">
        <w:rPr>
          <w:rFonts w:ascii="Arial" w:hAnsi="Arial" w:cs="Arial"/>
          <w:lang w:val="fr-FR"/>
        </w:rPr>
        <w:t>ancrage dans la Convention du moyen de preuve de dépôt “i-DEPOT”</w:t>
      </w:r>
    </w:p>
    <w:p w:rsidR="001A7925" w:rsidRPr="00E90DEA" w:rsidRDefault="001A7925" w:rsidP="003B78E3">
      <w:pPr>
        <w:autoSpaceDE w:val="0"/>
        <w:autoSpaceDN w:val="0"/>
        <w:adjustRightInd w:val="0"/>
        <w:rPr>
          <w:rFonts w:ascii="Arial" w:hAnsi="Arial" w:cs="Arial"/>
          <w:sz w:val="10"/>
          <w:szCs w:val="10"/>
        </w:rPr>
      </w:pPr>
    </w:p>
    <w:p w:rsidR="001A7925" w:rsidRPr="00E90DEA" w:rsidRDefault="001A7925" w:rsidP="003B78E3">
      <w:pPr>
        <w:ind w:left="360"/>
        <w:rPr>
          <w:rFonts w:ascii="Arial" w:hAnsi="Arial" w:cs="Arial"/>
        </w:rPr>
      </w:pPr>
      <w:r w:rsidRPr="00E90DEA">
        <w:rPr>
          <w:rFonts w:ascii="Arial" w:hAnsi="Arial" w:cs="Arial"/>
        </w:rPr>
        <w:t>Le service i-DEPOT</w:t>
      </w:r>
      <w:r w:rsidR="003B78E3" w:rsidRPr="00E90DEA">
        <w:rPr>
          <w:rFonts w:ascii="Arial" w:hAnsi="Arial" w:cs="Arial"/>
        </w:rPr>
        <w:t xml:space="preserve">, </w:t>
      </w:r>
      <w:r w:rsidRPr="00E90DEA">
        <w:rPr>
          <w:rFonts w:ascii="Arial" w:hAnsi="Arial" w:cs="Arial"/>
        </w:rPr>
        <w:t>offert depuis 1998</w:t>
      </w:r>
      <w:r w:rsidR="003B78E3" w:rsidRPr="00E90DEA">
        <w:rPr>
          <w:rFonts w:ascii="Arial" w:hAnsi="Arial" w:cs="Arial"/>
        </w:rPr>
        <w:t xml:space="preserve">, </w:t>
      </w:r>
      <w:r w:rsidRPr="00E90DEA">
        <w:rPr>
          <w:rFonts w:ascii="Arial" w:hAnsi="Arial" w:cs="Arial"/>
        </w:rPr>
        <w:t xml:space="preserve">est à présent ancré dans la </w:t>
      </w:r>
      <w:proofErr w:type="spellStart"/>
      <w:r w:rsidRPr="00E90DEA">
        <w:rPr>
          <w:rFonts w:ascii="Arial" w:hAnsi="Arial" w:cs="Arial"/>
        </w:rPr>
        <w:t>CBPI</w:t>
      </w:r>
      <w:proofErr w:type="spellEnd"/>
      <w:r w:rsidRPr="00E90DEA">
        <w:rPr>
          <w:rFonts w:ascii="Arial" w:hAnsi="Arial" w:cs="Arial"/>
        </w:rPr>
        <w:t xml:space="preserve">. Les Gouvernements veulent procurer, grâce à l’i-DEPOT, un moyen de preuve fiable et accessible qui peut être utilisé en cas de litige, par exemple en cas d’atteinte au droit d’auteur ou </w:t>
      </w:r>
      <w:r w:rsidR="003B78E3" w:rsidRPr="00E90DEA">
        <w:rPr>
          <w:rFonts w:ascii="Arial" w:hAnsi="Arial" w:cs="Arial"/>
        </w:rPr>
        <w:t>en cas de concurrence déloyale.</w:t>
      </w:r>
      <w:r w:rsidRPr="00E90DEA">
        <w:rPr>
          <w:rFonts w:ascii="Arial" w:hAnsi="Arial" w:cs="Arial"/>
        </w:rPr>
        <w:t xml:space="preserve"> L’i-DEPOT n’est rien de plus qu’un moyen de preuve.</w:t>
      </w:r>
    </w:p>
    <w:p w:rsidR="001A7925" w:rsidRPr="00E90DEA" w:rsidRDefault="001A7925" w:rsidP="003B78E3">
      <w:pPr>
        <w:autoSpaceDE w:val="0"/>
        <w:autoSpaceDN w:val="0"/>
        <w:adjustRightInd w:val="0"/>
        <w:rPr>
          <w:rFonts w:ascii="Arial" w:hAnsi="Arial" w:cs="Arial"/>
        </w:rPr>
      </w:pPr>
    </w:p>
    <w:p w:rsidR="001A7925" w:rsidRPr="00E90DEA" w:rsidRDefault="001A7925" w:rsidP="003B78E3">
      <w:pPr>
        <w:pStyle w:val="Paragraphedeliste"/>
        <w:numPr>
          <w:ilvl w:val="0"/>
          <w:numId w:val="2"/>
        </w:numPr>
        <w:autoSpaceDE w:val="0"/>
        <w:autoSpaceDN w:val="0"/>
        <w:adjustRightInd w:val="0"/>
        <w:spacing w:after="0" w:line="240" w:lineRule="auto"/>
        <w:ind w:left="360"/>
        <w:jc w:val="both"/>
        <w:rPr>
          <w:rFonts w:ascii="Arial" w:hAnsi="Arial" w:cs="Arial"/>
          <w:lang w:val="fr-FR"/>
        </w:rPr>
      </w:pPr>
      <w:r w:rsidRPr="00E90DEA">
        <w:rPr>
          <w:rFonts w:ascii="Arial" w:hAnsi="Arial" w:cs="Arial"/>
          <w:lang w:val="fr-FR"/>
        </w:rPr>
        <w:t>assouplissement des conditions de publication du règlement d’exécution</w:t>
      </w:r>
    </w:p>
    <w:p w:rsidR="001A7925" w:rsidRPr="00E90DEA" w:rsidRDefault="001A7925" w:rsidP="003B78E3">
      <w:pPr>
        <w:autoSpaceDE w:val="0"/>
        <w:autoSpaceDN w:val="0"/>
        <w:adjustRightInd w:val="0"/>
        <w:rPr>
          <w:rFonts w:ascii="Arial" w:hAnsi="Arial" w:cs="Arial"/>
        </w:rPr>
      </w:pPr>
    </w:p>
    <w:p w:rsidR="001A7925" w:rsidRPr="00E90DEA" w:rsidRDefault="003B78E3" w:rsidP="003B78E3">
      <w:pPr>
        <w:ind w:left="360"/>
        <w:rPr>
          <w:rFonts w:ascii="Arial" w:hAnsi="Arial" w:cs="Arial"/>
        </w:rPr>
      </w:pPr>
      <w:r w:rsidRPr="00E90DEA">
        <w:rPr>
          <w:rFonts w:ascii="Arial" w:hAnsi="Arial" w:cs="Arial"/>
        </w:rPr>
        <w:t>Le</w:t>
      </w:r>
      <w:r w:rsidR="001A7925" w:rsidRPr="00E90DEA">
        <w:rPr>
          <w:rFonts w:ascii="Arial" w:hAnsi="Arial" w:cs="Arial"/>
        </w:rPr>
        <w:t xml:space="preserve"> Conseil d’administration</w:t>
      </w:r>
      <w:r w:rsidRPr="00E90DEA">
        <w:rPr>
          <w:rFonts w:ascii="Arial" w:hAnsi="Arial" w:cs="Arial"/>
        </w:rPr>
        <w:t>,</w:t>
      </w:r>
      <w:r w:rsidR="001A7925" w:rsidRPr="00E90DEA">
        <w:rPr>
          <w:rFonts w:ascii="Arial" w:hAnsi="Arial" w:cs="Arial"/>
        </w:rPr>
        <w:t xml:space="preserve"> </w:t>
      </w:r>
      <w:r w:rsidRPr="00E90DEA">
        <w:rPr>
          <w:rFonts w:ascii="Arial" w:hAnsi="Arial" w:cs="Arial"/>
        </w:rPr>
        <w:t xml:space="preserve">habilité à cet effet en vertu de la </w:t>
      </w:r>
      <w:proofErr w:type="spellStart"/>
      <w:r w:rsidRPr="00E90DEA">
        <w:rPr>
          <w:rFonts w:ascii="Arial" w:hAnsi="Arial" w:cs="Arial"/>
        </w:rPr>
        <w:t>CBPI</w:t>
      </w:r>
      <w:proofErr w:type="spellEnd"/>
      <w:r w:rsidRPr="00E90DEA">
        <w:rPr>
          <w:rFonts w:ascii="Arial" w:hAnsi="Arial" w:cs="Arial"/>
        </w:rPr>
        <w:t xml:space="preserve">, </w:t>
      </w:r>
      <w:r w:rsidR="001A7925" w:rsidRPr="00E90DEA">
        <w:rPr>
          <w:rFonts w:ascii="Arial" w:hAnsi="Arial" w:cs="Arial"/>
        </w:rPr>
        <w:t xml:space="preserve">est l’organe </w:t>
      </w:r>
      <w:r w:rsidRPr="00E90DEA">
        <w:rPr>
          <w:rFonts w:ascii="Arial" w:hAnsi="Arial" w:cs="Arial"/>
        </w:rPr>
        <w:t>compétent pour établir le règlement d’exécution</w:t>
      </w:r>
      <w:r w:rsidR="001A7925" w:rsidRPr="00E90DEA">
        <w:rPr>
          <w:rFonts w:ascii="Arial" w:hAnsi="Arial" w:cs="Arial"/>
        </w:rPr>
        <w:t xml:space="preserve">. </w:t>
      </w:r>
      <w:r w:rsidRPr="00E90DEA">
        <w:rPr>
          <w:rFonts w:ascii="Arial" w:hAnsi="Arial" w:cs="Arial"/>
        </w:rPr>
        <w:t>L’objectif de c</w:t>
      </w:r>
      <w:r w:rsidR="001A7925" w:rsidRPr="00E90DEA">
        <w:rPr>
          <w:rFonts w:ascii="Arial" w:hAnsi="Arial" w:cs="Arial"/>
        </w:rPr>
        <w:t>ette habilitation</w:t>
      </w:r>
      <w:r w:rsidRPr="00E90DEA">
        <w:rPr>
          <w:rFonts w:ascii="Arial" w:hAnsi="Arial" w:cs="Arial"/>
        </w:rPr>
        <w:t xml:space="preserve">, accélérer et </w:t>
      </w:r>
      <w:r w:rsidR="001A7925" w:rsidRPr="00E90DEA">
        <w:rPr>
          <w:rFonts w:ascii="Arial" w:hAnsi="Arial" w:cs="Arial"/>
        </w:rPr>
        <w:t>assouplir la procédure par rapport au passé</w:t>
      </w:r>
      <w:r w:rsidRPr="00E90DEA">
        <w:rPr>
          <w:rFonts w:ascii="Arial" w:hAnsi="Arial" w:cs="Arial"/>
        </w:rPr>
        <w:t xml:space="preserve">, </w:t>
      </w:r>
      <w:r w:rsidR="001A7925" w:rsidRPr="00E90DEA">
        <w:rPr>
          <w:rFonts w:ascii="Arial" w:hAnsi="Arial" w:cs="Arial"/>
        </w:rPr>
        <w:t>restait cependant difficile à atteindre du fait que l’on continuait à faire dépendre l’entrée en vigueur des modifications de leur publication dans les journaux officiels des trois pays. C’est pourquoi les Gouvernements ont décidé que la publication par le Directeur général sur le site Internet de l’</w:t>
      </w:r>
      <w:proofErr w:type="spellStart"/>
      <w:r w:rsidR="001A7925" w:rsidRPr="00E90DEA">
        <w:rPr>
          <w:rFonts w:ascii="Arial" w:hAnsi="Arial" w:cs="Arial"/>
        </w:rPr>
        <w:t>OBPI</w:t>
      </w:r>
      <w:proofErr w:type="spellEnd"/>
      <w:r w:rsidR="001A7925" w:rsidRPr="00E90DEA">
        <w:rPr>
          <w:rFonts w:ascii="Arial" w:hAnsi="Arial" w:cs="Arial"/>
        </w:rPr>
        <w:t xml:space="preserve"> serait désormais une condition suffisante pour l’entrée en vigueur des modifications du règlement d’exécution. Les pays du Benelux continueront au demeurant à publier les actes modificatifs dans leur journal officiel, mais cette publication ne conditionne plus l’entrée en vigueur.</w:t>
      </w:r>
    </w:p>
    <w:p w:rsidR="001A7925" w:rsidRPr="00E90DEA" w:rsidRDefault="001A7925" w:rsidP="003B78E3">
      <w:pPr>
        <w:rPr>
          <w:rFonts w:ascii="Arial" w:hAnsi="Arial" w:cs="Arial"/>
        </w:rPr>
      </w:pPr>
    </w:p>
    <w:p w:rsidR="001A7925" w:rsidRPr="00E90DEA" w:rsidRDefault="001A7925">
      <w:pPr>
        <w:rPr>
          <w:rFonts w:ascii="Arial" w:hAnsi="Arial" w:cs="Arial"/>
        </w:rPr>
      </w:pPr>
      <w:r w:rsidRPr="00E90DEA">
        <w:rPr>
          <w:rFonts w:ascii="Arial" w:hAnsi="Arial" w:cs="Arial"/>
        </w:rPr>
        <w:t>A noter que ce projet de loi requiert une approbation dans les conditions de l’article 114, alinéa 2 de la Constitution (majorité qualifiée).</w:t>
      </w:r>
    </w:p>
    <w:sectPr w:rsidR="001A7925" w:rsidRPr="00E90DEA" w:rsidSect="00C8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42773"/>
    <w:multiLevelType w:val="hybridMultilevel"/>
    <w:tmpl w:val="9D5AFB32"/>
    <w:lvl w:ilvl="0" w:tplc="EED85F3A">
      <w:numFmt w:val="bullet"/>
      <w:lvlText w:val="-"/>
      <w:lvlJc w:val="left"/>
      <w:pPr>
        <w:ind w:left="720" w:hanging="360"/>
      </w:pPr>
      <w:rPr>
        <w:rFonts w:ascii="Tahoma" w:eastAsia="Calibri" w:hAnsi="Tahoma" w:cs="Tahoma"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 w15:restartNumberingAfterBreak="0">
    <w:nsid w:val="3F8F1914"/>
    <w:multiLevelType w:val="hybridMultilevel"/>
    <w:tmpl w:val="B0DA3CE0"/>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925"/>
    <w:rsid w:val="00051FA9"/>
    <w:rsid w:val="001A7925"/>
    <w:rsid w:val="001B1185"/>
    <w:rsid w:val="003B78E3"/>
    <w:rsid w:val="0054463A"/>
    <w:rsid w:val="005B3026"/>
    <w:rsid w:val="00941B0D"/>
    <w:rsid w:val="00943E50"/>
    <w:rsid w:val="00BE2C0C"/>
    <w:rsid w:val="00C83592"/>
    <w:rsid w:val="00D2379E"/>
    <w:rsid w:val="00E90DEA"/>
    <w:rsid w:val="00F9077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0E74F5-AAA9-4839-B953-F09ACEC5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925"/>
    <w:pPr>
      <w:jc w:val="both"/>
    </w:pPr>
    <w:rPr>
      <w:rFonts w:ascii="Tahoma" w:hAnsi="Tahoma"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7925"/>
    <w:pPr>
      <w:spacing w:after="200" w:line="276" w:lineRule="auto"/>
      <w:ind w:left="720"/>
      <w:contextualSpacing/>
      <w:jc w:val="left"/>
    </w:pPr>
    <w:rPr>
      <w:rFonts w:ascii="Calibri" w:hAnsi="Calibri"/>
      <w:lang w:val="lb-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58B6A6E-4F2E-4428-8DDB-599986A513FA}"/>
</file>

<file path=customXml/itemProps2.xml><?xml version="1.0" encoding="utf-8"?>
<ds:datastoreItem xmlns:ds="http://schemas.openxmlformats.org/officeDocument/2006/customXml" ds:itemID="{83A396B5-4E96-482A-9950-B5DA6460AD1E}"/>
</file>

<file path=customXml/itemProps3.xml><?xml version="1.0" encoding="utf-8"?>
<ds:datastoreItem xmlns:ds="http://schemas.openxmlformats.org/officeDocument/2006/customXml" ds:itemID="{07455096-6B54-48D3-9274-B26981CD65BF}"/>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1976</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