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94" w:rsidRDefault="007E5294" w:rsidP="007E5294">
      <w:pPr>
        <w:suppressAutoHyphens/>
        <w:jc w:val="center"/>
        <w:rPr>
          <w:b/>
          <w:sz w:val="28"/>
        </w:rPr>
      </w:pPr>
      <w:bookmarkStart w:id="0" w:name="_GoBack"/>
      <w:bookmarkEnd w:id="0"/>
      <w:r>
        <w:rPr>
          <w:b/>
          <w:sz w:val="28"/>
        </w:rPr>
        <w:t>Projet de loi 6179</w:t>
      </w:r>
    </w:p>
    <w:p w:rsidR="007E5294" w:rsidRDefault="007E5294" w:rsidP="007E5294">
      <w:pPr>
        <w:suppressAutoHyphens/>
        <w:jc w:val="center"/>
        <w:rPr>
          <w:b/>
          <w:sz w:val="28"/>
        </w:rPr>
      </w:pPr>
    </w:p>
    <w:p w:rsidR="007E5294" w:rsidRDefault="007E5294" w:rsidP="007E5294">
      <w:pPr>
        <w:suppressAutoHyphens/>
        <w:rPr>
          <w:b/>
          <w:sz w:val="28"/>
        </w:rPr>
      </w:pPr>
      <w:r>
        <w:rPr>
          <w:b/>
          <w:sz w:val="28"/>
        </w:rPr>
        <w:t>portant</w:t>
      </w:r>
    </w:p>
    <w:p w:rsidR="007E5294" w:rsidRDefault="007E5294" w:rsidP="0024287A">
      <w:pPr>
        <w:numPr>
          <w:ilvl w:val="0"/>
          <w:numId w:val="1"/>
        </w:numPr>
        <w:tabs>
          <w:tab w:val="clear" w:pos="2061"/>
        </w:tabs>
        <w:suppressAutoHyphens/>
        <w:ind w:left="0" w:hanging="426"/>
        <w:jc w:val="both"/>
        <w:rPr>
          <w:b/>
          <w:sz w:val="28"/>
        </w:rPr>
      </w:pPr>
      <w:r>
        <w:rPr>
          <w:b/>
          <w:sz w:val="28"/>
        </w:rPr>
        <w:t>transposition de la directive 2005/47/CE du Conseil du 18 juillet 2005 concernant l’accord entre la Communauté européenne du rail (CER) et la Fédération européenne des travailleurs des transports (ETF) sur certains aspects des conditions d’utilisation des travailleurs mobiles effectuant des services d’interopérabilité transfrontalière dans le secteur ferroviaire;</w:t>
      </w:r>
    </w:p>
    <w:p w:rsidR="007E5294" w:rsidRDefault="007E5294" w:rsidP="0024287A">
      <w:pPr>
        <w:numPr>
          <w:ilvl w:val="0"/>
          <w:numId w:val="1"/>
        </w:numPr>
        <w:tabs>
          <w:tab w:val="clear" w:pos="2061"/>
        </w:tabs>
        <w:suppressAutoHyphens/>
        <w:ind w:left="0" w:hanging="426"/>
        <w:jc w:val="both"/>
        <w:rPr>
          <w:b/>
          <w:sz w:val="28"/>
        </w:rPr>
      </w:pPr>
      <w:r>
        <w:rPr>
          <w:b/>
          <w:sz w:val="28"/>
        </w:rPr>
        <w:t>modification du Code du travail</w:t>
      </w:r>
    </w:p>
    <w:p w:rsidR="007E5294" w:rsidRDefault="007E5294" w:rsidP="007E5294">
      <w:pPr>
        <w:suppressAutoHyphens/>
        <w:jc w:val="both"/>
        <w:rPr>
          <w:rFonts w:ascii="Arial" w:hAnsi="Arial" w:cs="Arial"/>
          <w:spacing w:val="-2"/>
          <w:sz w:val="22"/>
          <w:szCs w:val="22"/>
        </w:rPr>
      </w:pPr>
    </w:p>
    <w:p w:rsidR="007E5294" w:rsidRDefault="007E5294" w:rsidP="007E5294">
      <w:pPr>
        <w:suppressAutoHyphens/>
        <w:jc w:val="both"/>
        <w:rPr>
          <w:rFonts w:ascii="Arial" w:hAnsi="Arial" w:cs="Arial"/>
          <w:spacing w:val="-2"/>
          <w:sz w:val="22"/>
          <w:szCs w:val="22"/>
        </w:rPr>
      </w:pPr>
    </w:p>
    <w:p w:rsidR="007E5294" w:rsidRPr="007E5294" w:rsidRDefault="007E5294" w:rsidP="007E5294">
      <w:pPr>
        <w:suppressAutoHyphens/>
        <w:jc w:val="both"/>
        <w:rPr>
          <w:rFonts w:ascii="Arial" w:hAnsi="Arial" w:cs="Arial"/>
          <w:spacing w:val="-2"/>
          <w:sz w:val="22"/>
          <w:szCs w:val="22"/>
        </w:rPr>
      </w:pPr>
      <w:r w:rsidRPr="007E5294">
        <w:rPr>
          <w:rFonts w:ascii="Arial" w:hAnsi="Arial" w:cs="Arial"/>
          <w:spacing w:val="-2"/>
          <w:sz w:val="22"/>
          <w:szCs w:val="22"/>
        </w:rPr>
        <w:t>Le projet de loi proc</w:t>
      </w:r>
      <w:r>
        <w:rPr>
          <w:rFonts w:ascii="Arial" w:hAnsi="Arial" w:cs="Arial"/>
          <w:spacing w:val="-2"/>
          <w:sz w:val="22"/>
          <w:szCs w:val="22"/>
        </w:rPr>
        <w:t>è</w:t>
      </w:r>
      <w:r w:rsidRPr="007E5294">
        <w:rPr>
          <w:rFonts w:ascii="Arial" w:hAnsi="Arial" w:cs="Arial"/>
          <w:spacing w:val="-2"/>
          <w:sz w:val="22"/>
          <w:szCs w:val="22"/>
        </w:rPr>
        <w:t xml:space="preserve">de à la transposition en droit interne de la </w:t>
      </w:r>
      <w:r w:rsidRPr="007E5294">
        <w:rPr>
          <w:rFonts w:ascii="Arial" w:hAnsi="Arial" w:cs="Arial"/>
          <w:sz w:val="22"/>
          <w:szCs w:val="22"/>
        </w:rPr>
        <w:t xml:space="preserve">directive 2005/47/CE du Conseil du 18 juillet 2005 concernant l’accord entre </w:t>
      </w:r>
      <w:smartTag w:uri="urn:schemas-microsoft-com:office:smarttags" w:element="PersonName">
        <w:smartTagPr>
          <w:attr w:name="ProductID" w:val="la Communaut￩"/>
        </w:smartTagPr>
        <w:r w:rsidRPr="007E5294">
          <w:rPr>
            <w:rFonts w:ascii="Arial" w:hAnsi="Arial" w:cs="Arial"/>
            <w:sz w:val="22"/>
            <w:szCs w:val="22"/>
          </w:rPr>
          <w:t>la Communauté</w:t>
        </w:r>
      </w:smartTag>
      <w:r w:rsidRPr="007E5294">
        <w:rPr>
          <w:rFonts w:ascii="Arial" w:hAnsi="Arial" w:cs="Arial"/>
          <w:sz w:val="22"/>
          <w:szCs w:val="22"/>
        </w:rPr>
        <w:t xml:space="preserve"> européenne du rail (CER) et </w:t>
      </w:r>
      <w:smartTag w:uri="urn:schemas-microsoft-com:office:smarttags" w:element="PersonName">
        <w:smartTagPr>
          <w:attr w:name="ProductID" w:val="la F￩d￩ration"/>
        </w:smartTagPr>
        <w:r w:rsidRPr="007E5294">
          <w:rPr>
            <w:rFonts w:ascii="Arial" w:hAnsi="Arial" w:cs="Arial"/>
            <w:sz w:val="22"/>
            <w:szCs w:val="22"/>
          </w:rPr>
          <w:t>la Fédération</w:t>
        </w:r>
      </w:smartTag>
      <w:r w:rsidRPr="007E5294">
        <w:rPr>
          <w:rFonts w:ascii="Arial" w:hAnsi="Arial" w:cs="Arial"/>
          <w:sz w:val="22"/>
          <w:szCs w:val="22"/>
        </w:rPr>
        <w:t xml:space="preserve"> européenne des travailleurs des transports (ETF) sur certains aspects des conditions d’utilisation des travailleurs mobiles effectuant des services d’interopérabilité transfrontalière dans le secteur ferroviaire.</w:t>
      </w:r>
    </w:p>
    <w:p w:rsidR="007E5294" w:rsidRPr="007E5294" w:rsidRDefault="007E5294" w:rsidP="007E5294">
      <w:pPr>
        <w:suppressAutoHyphens/>
        <w:jc w:val="both"/>
        <w:rPr>
          <w:rFonts w:ascii="Arial" w:hAnsi="Arial" w:cs="Arial"/>
          <w:spacing w:val="-2"/>
          <w:sz w:val="22"/>
          <w:szCs w:val="22"/>
        </w:rPr>
      </w:pPr>
    </w:p>
    <w:p w:rsidR="007E5294" w:rsidRPr="007E5294" w:rsidRDefault="007E5294" w:rsidP="007E5294">
      <w:pPr>
        <w:suppressAutoHyphens/>
        <w:jc w:val="both"/>
        <w:rPr>
          <w:rFonts w:ascii="Arial" w:hAnsi="Arial" w:cs="Arial"/>
          <w:spacing w:val="-2"/>
          <w:sz w:val="22"/>
          <w:szCs w:val="22"/>
        </w:rPr>
      </w:pPr>
      <w:r w:rsidRPr="007E5294">
        <w:rPr>
          <w:rFonts w:ascii="Arial" w:hAnsi="Arial" w:cs="Arial"/>
          <w:spacing w:val="-2"/>
          <w:sz w:val="22"/>
          <w:szCs w:val="22"/>
        </w:rPr>
        <w:t>L’accord en question fut conclu le 27 janvier 2004, et il a pour but de protéger la santé et la sécurité des salariés concernés dans la perspective de la réalisation du marché intérieur du secteur du transport ferroviaire.</w:t>
      </w:r>
    </w:p>
    <w:p w:rsidR="007E5294" w:rsidRPr="007E5294" w:rsidRDefault="007E5294" w:rsidP="007E5294">
      <w:pPr>
        <w:suppressAutoHyphens/>
        <w:jc w:val="both"/>
        <w:rPr>
          <w:rFonts w:ascii="Arial" w:hAnsi="Arial" w:cs="Arial"/>
          <w:spacing w:val="-2"/>
          <w:sz w:val="22"/>
          <w:szCs w:val="22"/>
        </w:rPr>
      </w:pPr>
    </w:p>
    <w:p w:rsidR="007E5294" w:rsidRPr="007E5294" w:rsidRDefault="007E5294" w:rsidP="007E5294">
      <w:pPr>
        <w:suppressAutoHyphens/>
        <w:jc w:val="both"/>
        <w:rPr>
          <w:rFonts w:ascii="Arial" w:hAnsi="Arial" w:cs="Arial"/>
          <w:spacing w:val="-2"/>
          <w:sz w:val="22"/>
          <w:szCs w:val="22"/>
        </w:rPr>
      </w:pPr>
      <w:r w:rsidRPr="007E5294">
        <w:rPr>
          <w:rFonts w:ascii="Arial" w:hAnsi="Arial" w:cs="Arial"/>
          <w:spacing w:val="-2"/>
          <w:sz w:val="22"/>
          <w:szCs w:val="22"/>
        </w:rPr>
        <w:t>Au Luxembourg, la base de l’accord fut déjà adoptée par règlement grand-ducal du 24 août 2007, qui intégrait les dispositions communautaires dans le statut du personnel des chemins de fer. L’application fut ainsi assurée pour les acteurs intéressés avec priorité.</w:t>
      </w:r>
    </w:p>
    <w:p w:rsidR="007E5294" w:rsidRPr="007E5294" w:rsidRDefault="007E5294" w:rsidP="007E5294">
      <w:pPr>
        <w:suppressAutoHyphens/>
        <w:jc w:val="both"/>
        <w:rPr>
          <w:rFonts w:ascii="Arial" w:hAnsi="Arial" w:cs="Arial"/>
          <w:spacing w:val="-2"/>
          <w:sz w:val="22"/>
          <w:szCs w:val="22"/>
        </w:rPr>
      </w:pPr>
    </w:p>
    <w:p w:rsidR="007E5294" w:rsidRPr="007E5294" w:rsidRDefault="007E5294" w:rsidP="007E5294">
      <w:pPr>
        <w:suppressAutoHyphens/>
        <w:jc w:val="both"/>
        <w:rPr>
          <w:rFonts w:ascii="Arial" w:hAnsi="Arial" w:cs="Arial"/>
          <w:spacing w:val="-2"/>
          <w:sz w:val="22"/>
          <w:szCs w:val="22"/>
        </w:rPr>
      </w:pPr>
      <w:r w:rsidRPr="007E5294">
        <w:rPr>
          <w:rFonts w:ascii="Arial" w:hAnsi="Arial" w:cs="Arial"/>
          <w:spacing w:val="-2"/>
          <w:sz w:val="22"/>
          <w:szCs w:val="22"/>
        </w:rPr>
        <w:t>Le statut en question ne s’applique cependant qu’aux agents des CFL, à l’exclusion des salariés des autres entreprises ferroviaires, dont les conditions de travail dépendent des négociations collectives.</w:t>
      </w:r>
    </w:p>
    <w:p w:rsidR="007E5294" w:rsidRPr="007E5294" w:rsidRDefault="007E5294" w:rsidP="007E5294">
      <w:pPr>
        <w:suppressAutoHyphens/>
        <w:jc w:val="both"/>
        <w:rPr>
          <w:rFonts w:ascii="Arial" w:hAnsi="Arial" w:cs="Arial"/>
          <w:spacing w:val="-2"/>
          <w:sz w:val="22"/>
          <w:szCs w:val="22"/>
        </w:rPr>
      </w:pPr>
    </w:p>
    <w:p w:rsidR="00BB3123" w:rsidRPr="007E5294" w:rsidRDefault="007E5294" w:rsidP="007E5294">
      <w:pPr>
        <w:jc w:val="both"/>
        <w:rPr>
          <w:rFonts w:ascii="Arial" w:hAnsi="Arial" w:cs="Arial"/>
          <w:sz w:val="22"/>
          <w:szCs w:val="22"/>
        </w:rPr>
      </w:pPr>
      <w:r>
        <w:rPr>
          <w:rFonts w:ascii="Arial" w:hAnsi="Arial" w:cs="Arial"/>
          <w:spacing w:val="-2"/>
          <w:sz w:val="22"/>
          <w:szCs w:val="22"/>
        </w:rPr>
        <w:t xml:space="preserve">Ce projet </w:t>
      </w:r>
      <w:r w:rsidRPr="007E5294">
        <w:rPr>
          <w:rFonts w:ascii="Arial" w:hAnsi="Arial" w:cs="Arial"/>
          <w:spacing w:val="-2"/>
          <w:sz w:val="22"/>
          <w:szCs w:val="22"/>
        </w:rPr>
        <w:t>prév</w:t>
      </w:r>
      <w:r>
        <w:rPr>
          <w:rFonts w:ascii="Arial" w:hAnsi="Arial" w:cs="Arial"/>
          <w:spacing w:val="-2"/>
          <w:sz w:val="22"/>
          <w:szCs w:val="22"/>
        </w:rPr>
        <w:t>oi</w:t>
      </w:r>
      <w:r w:rsidRPr="007E5294">
        <w:rPr>
          <w:rFonts w:ascii="Arial" w:hAnsi="Arial" w:cs="Arial"/>
          <w:spacing w:val="-2"/>
          <w:sz w:val="22"/>
          <w:szCs w:val="22"/>
        </w:rPr>
        <w:t xml:space="preserve"> l’intégration du projet dans le Code du travail, vu qu’il généralise l’application du contenu de la directive à tous les salariés du secteur en cause.</w:t>
      </w:r>
    </w:p>
    <w:sectPr w:rsidR="00BB3123" w:rsidRPr="007E5294"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B7C26"/>
    <w:multiLevelType w:val="hybridMultilevel"/>
    <w:tmpl w:val="72A214C4"/>
    <w:lvl w:ilvl="0" w:tplc="1EE46D32">
      <w:start w:val="1"/>
      <w:numFmt w:val="decimal"/>
      <w:lvlText w:val="%1."/>
      <w:lvlJc w:val="left"/>
      <w:pPr>
        <w:tabs>
          <w:tab w:val="num" w:pos="2061"/>
        </w:tabs>
        <w:ind w:left="2061" w:hanging="360"/>
      </w:pPr>
      <w:rPr>
        <w:rFonts w:hint="default"/>
      </w:rPr>
    </w:lvl>
    <w:lvl w:ilvl="1" w:tplc="040C0019" w:tentative="1">
      <w:start w:val="1"/>
      <w:numFmt w:val="lowerLetter"/>
      <w:lvlText w:val="%2."/>
      <w:lvlJc w:val="left"/>
      <w:pPr>
        <w:tabs>
          <w:tab w:val="num" w:pos="2781"/>
        </w:tabs>
        <w:ind w:left="2781" w:hanging="360"/>
      </w:pPr>
    </w:lvl>
    <w:lvl w:ilvl="2" w:tplc="040C001B" w:tentative="1">
      <w:start w:val="1"/>
      <w:numFmt w:val="lowerRoman"/>
      <w:lvlText w:val="%3."/>
      <w:lvlJc w:val="right"/>
      <w:pPr>
        <w:tabs>
          <w:tab w:val="num" w:pos="3501"/>
        </w:tabs>
        <w:ind w:left="3501" w:hanging="180"/>
      </w:pPr>
    </w:lvl>
    <w:lvl w:ilvl="3" w:tplc="040C000F" w:tentative="1">
      <w:start w:val="1"/>
      <w:numFmt w:val="decimal"/>
      <w:lvlText w:val="%4."/>
      <w:lvlJc w:val="left"/>
      <w:pPr>
        <w:tabs>
          <w:tab w:val="num" w:pos="4221"/>
        </w:tabs>
        <w:ind w:left="4221" w:hanging="360"/>
      </w:pPr>
    </w:lvl>
    <w:lvl w:ilvl="4" w:tplc="040C0019" w:tentative="1">
      <w:start w:val="1"/>
      <w:numFmt w:val="lowerLetter"/>
      <w:lvlText w:val="%5."/>
      <w:lvlJc w:val="left"/>
      <w:pPr>
        <w:tabs>
          <w:tab w:val="num" w:pos="4941"/>
        </w:tabs>
        <w:ind w:left="4941" w:hanging="360"/>
      </w:pPr>
    </w:lvl>
    <w:lvl w:ilvl="5" w:tplc="040C001B" w:tentative="1">
      <w:start w:val="1"/>
      <w:numFmt w:val="lowerRoman"/>
      <w:lvlText w:val="%6."/>
      <w:lvlJc w:val="right"/>
      <w:pPr>
        <w:tabs>
          <w:tab w:val="num" w:pos="5661"/>
        </w:tabs>
        <w:ind w:left="5661" w:hanging="180"/>
      </w:pPr>
    </w:lvl>
    <w:lvl w:ilvl="6" w:tplc="040C000F" w:tentative="1">
      <w:start w:val="1"/>
      <w:numFmt w:val="decimal"/>
      <w:lvlText w:val="%7."/>
      <w:lvlJc w:val="left"/>
      <w:pPr>
        <w:tabs>
          <w:tab w:val="num" w:pos="6381"/>
        </w:tabs>
        <w:ind w:left="6381" w:hanging="360"/>
      </w:pPr>
    </w:lvl>
    <w:lvl w:ilvl="7" w:tplc="040C0019" w:tentative="1">
      <w:start w:val="1"/>
      <w:numFmt w:val="lowerLetter"/>
      <w:lvlText w:val="%8."/>
      <w:lvlJc w:val="left"/>
      <w:pPr>
        <w:tabs>
          <w:tab w:val="num" w:pos="7101"/>
        </w:tabs>
        <w:ind w:left="7101" w:hanging="360"/>
      </w:pPr>
    </w:lvl>
    <w:lvl w:ilvl="8" w:tplc="040C001B" w:tentative="1">
      <w:start w:val="1"/>
      <w:numFmt w:val="lowerRoman"/>
      <w:lvlText w:val="%9."/>
      <w:lvlJc w:val="right"/>
      <w:pPr>
        <w:tabs>
          <w:tab w:val="num" w:pos="7821"/>
        </w:tabs>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294"/>
    <w:rsid w:val="0000217A"/>
    <w:rsid w:val="00061235"/>
    <w:rsid w:val="0024287A"/>
    <w:rsid w:val="00326726"/>
    <w:rsid w:val="00453DC5"/>
    <w:rsid w:val="006256B8"/>
    <w:rsid w:val="007B5EF2"/>
    <w:rsid w:val="007E5294"/>
    <w:rsid w:val="00BB3123"/>
    <w:rsid w:val="00C06A54"/>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6C52C5B-C70D-4E9E-9066-7CBF3F53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294"/>
    <w:pPr>
      <w:overflowPunct w:val="0"/>
      <w:autoSpaceDE w:val="0"/>
      <w:autoSpaceDN w:val="0"/>
      <w:adjustRightInd w:val="0"/>
      <w:textAlignment w:val="baseline"/>
    </w:pPr>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7F188CA-EE1E-4A2B-9862-4EC12CFC68D8}"/>
</file>

<file path=customXml/itemProps2.xml><?xml version="1.0" encoding="utf-8"?>
<ds:datastoreItem xmlns:ds="http://schemas.openxmlformats.org/officeDocument/2006/customXml" ds:itemID="{9223E817-295A-425F-9ACB-7DF93669675C}"/>
</file>

<file path=customXml/itemProps3.xml><?xml version="1.0" encoding="utf-8"?>
<ds:datastoreItem xmlns:ds="http://schemas.openxmlformats.org/officeDocument/2006/customXml" ds:itemID="{91351B31-804B-4CD9-B481-1DFE30D1D4F8}"/>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1442</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