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DBC" w:rsidRDefault="00592DBC" w:rsidP="00592DBC">
      <w:pPr>
        <w:jc w:val="center"/>
        <w:rPr>
          <w:b/>
          <w:sz w:val="28"/>
          <w:szCs w:val="28"/>
        </w:rPr>
      </w:pPr>
      <w:bookmarkStart w:id="0" w:name="_GoBack"/>
      <w:bookmarkEnd w:id="0"/>
      <w:r w:rsidRPr="00654619">
        <w:rPr>
          <w:b/>
          <w:sz w:val="28"/>
          <w:szCs w:val="28"/>
        </w:rPr>
        <w:t xml:space="preserve">N° </w:t>
      </w:r>
      <w:r w:rsidR="003332DC">
        <w:rPr>
          <w:b/>
          <w:sz w:val="28"/>
          <w:szCs w:val="28"/>
        </w:rPr>
        <w:t>61</w:t>
      </w:r>
      <w:r w:rsidR="002E2505">
        <w:rPr>
          <w:b/>
          <w:sz w:val="28"/>
          <w:szCs w:val="28"/>
        </w:rPr>
        <w:t>78</w:t>
      </w:r>
    </w:p>
    <w:p w:rsidR="00255463" w:rsidRDefault="00255463" w:rsidP="006C0DA4">
      <w:pPr>
        <w:jc w:val="center"/>
        <w:rPr>
          <w:b/>
          <w:sz w:val="28"/>
          <w:szCs w:val="28"/>
        </w:rPr>
      </w:pPr>
    </w:p>
    <w:p w:rsidR="002E2505" w:rsidRPr="00AF0FA1" w:rsidRDefault="002E2505" w:rsidP="002E2505">
      <w:pPr>
        <w:pStyle w:val="Textebrut"/>
        <w:jc w:val="center"/>
        <w:rPr>
          <w:rFonts w:ascii="Arial" w:hAnsi="Arial" w:cs="Arial"/>
          <w:b/>
          <w:bCs/>
          <w:sz w:val="24"/>
          <w:szCs w:val="24"/>
        </w:rPr>
      </w:pPr>
      <w:r w:rsidRPr="00AF0FA1">
        <w:rPr>
          <w:rFonts w:ascii="Arial" w:hAnsi="Arial" w:cs="Arial"/>
          <w:b/>
          <w:bCs/>
          <w:sz w:val="24"/>
          <w:szCs w:val="24"/>
        </w:rPr>
        <w:t>Projet de loi</w:t>
      </w:r>
      <w:r>
        <w:rPr>
          <w:rFonts w:ascii="Arial" w:hAnsi="Arial" w:cs="Arial"/>
          <w:b/>
          <w:bCs/>
          <w:sz w:val="24"/>
          <w:szCs w:val="24"/>
        </w:rPr>
        <w:t xml:space="preserve"> </w:t>
      </w:r>
    </w:p>
    <w:p w:rsidR="002E2505" w:rsidRPr="00AF0FA1" w:rsidRDefault="002E2505" w:rsidP="002E2505">
      <w:pPr>
        <w:pStyle w:val="Textebrut"/>
        <w:jc w:val="center"/>
        <w:rPr>
          <w:rFonts w:ascii="Arial" w:hAnsi="Arial" w:cs="Arial"/>
          <w:b/>
          <w:bCs/>
          <w:sz w:val="24"/>
          <w:szCs w:val="24"/>
        </w:rPr>
      </w:pPr>
    </w:p>
    <w:p w:rsidR="002E2505" w:rsidRPr="00325447" w:rsidRDefault="002E2505" w:rsidP="002E2505">
      <w:pPr>
        <w:pStyle w:val="Textebrut"/>
        <w:jc w:val="center"/>
        <w:rPr>
          <w:rFonts w:ascii="Arial" w:hAnsi="Arial" w:cs="Arial"/>
          <w:b/>
          <w:bCs/>
          <w:sz w:val="24"/>
          <w:szCs w:val="24"/>
        </w:rPr>
      </w:pPr>
      <w:r w:rsidRPr="00325447">
        <w:rPr>
          <w:rFonts w:ascii="Arial" w:hAnsi="Arial" w:cs="Arial"/>
          <w:b/>
          <w:bCs/>
          <w:sz w:val="24"/>
          <w:szCs w:val="24"/>
        </w:rPr>
        <w:t>portant modification de la loi du 17 mars 2004 relative au</w:t>
      </w:r>
    </w:p>
    <w:p w:rsidR="002E2505" w:rsidRPr="00325447" w:rsidRDefault="002E2505" w:rsidP="002E2505">
      <w:pPr>
        <w:pStyle w:val="Textebrut"/>
        <w:jc w:val="center"/>
        <w:rPr>
          <w:rFonts w:ascii="Arial" w:hAnsi="Arial" w:cs="Arial"/>
          <w:b/>
          <w:bCs/>
          <w:sz w:val="24"/>
          <w:szCs w:val="24"/>
        </w:rPr>
      </w:pPr>
      <w:r w:rsidRPr="00325447">
        <w:rPr>
          <w:rFonts w:ascii="Arial" w:hAnsi="Arial" w:cs="Arial"/>
          <w:b/>
          <w:bCs/>
          <w:sz w:val="24"/>
          <w:szCs w:val="24"/>
        </w:rPr>
        <w:t>mandat d’arrêt européen et aux procédures de remise</w:t>
      </w:r>
    </w:p>
    <w:p w:rsidR="002E2505" w:rsidRDefault="002E2505" w:rsidP="002E2505">
      <w:pPr>
        <w:pStyle w:val="Textebrut"/>
        <w:jc w:val="center"/>
        <w:rPr>
          <w:rFonts w:ascii="Arial" w:hAnsi="Arial" w:cs="Arial"/>
          <w:b/>
          <w:bCs/>
          <w:sz w:val="22"/>
          <w:szCs w:val="22"/>
        </w:rPr>
      </w:pPr>
      <w:r w:rsidRPr="00325447">
        <w:rPr>
          <w:rFonts w:ascii="Arial" w:hAnsi="Arial" w:cs="Arial"/>
          <w:b/>
          <w:bCs/>
          <w:sz w:val="24"/>
          <w:szCs w:val="24"/>
        </w:rPr>
        <w:t>entre Etats membres de l’Union européenne</w:t>
      </w:r>
    </w:p>
    <w:p w:rsidR="003332DC" w:rsidRPr="002E2505" w:rsidRDefault="003332DC" w:rsidP="003332DC">
      <w:pPr>
        <w:pStyle w:val="Textebrut"/>
        <w:jc w:val="center"/>
        <w:rPr>
          <w:rFonts w:ascii="Arial" w:hAnsi="Arial" w:cs="Arial"/>
          <w:b/>
          <w:sz w:val="24"/>
          <w:szCs w:val="24"/>
        </w:rPr>
      </w:pPr>
    </w:p>
    <w:p w:rsidR="003332DC" w:rsidRPr="002F7602" w:rsidRDefault="003332DC" w:rsidP="003332DC">
      <w:pPr>
        <w:pStyle w:val="Textebrut"/>
        <w:jc w:val="center"/>
        <w:rPr>
          <w:rFonts w:ascii="Arial" w:hAnsi="Arial" w:cs="Arial"/>
          <w:b/>
          <w:sz w:val="24"/>
          <w:szCs w:val="24"/>
          <w:lang w:val="fr-LU"/>
        </w:rPr>
      </w:pPr>
      <w:r>
        <w:rPr>
          <w:rFonts w:ascii="Arial" w:hAnsi="Arial" w:cs="Arial"/>
          <w:b/>
          <w:sz w:val="24"/>
          <w:szCs w:val="24"/>
          <w:lang w:val="fr-LU"/>
        </w:rPr>
        <w:t>___________________________________________________________________</w:t>
      </w:r>
    </w:p>
    <w:p w:rsidR="006C0DA4" w:rsidRDefault="006C0DA4" w:rsidP="006C0DA4">
      <w:pPr>
        <w:jc w:val="both"/>
      </w:pPr>
    </w:p>
    <w:p w:rsidR="00255463" w:rsidRPr="00E96A04" w:rsidRDefault="00255463" w:rsidP="00255463">
      <w:pPr>
        <w:jc w:val="center"/>
        <w:rPr>
          <w:b/>
          <w:sz w:val="28"/>
          <w:szCs w:val="28"/>
          <w:u w:val="single"/>
        </w:rPr>
      </w:pPr>
      <w:r w:rsidRPr="00E96A04">
        <w:rPr>
          <w:b/>
          <w:sz w:val="28"/>
          <w:szCs w:val="28"/>
          <w:u w:val="single"/>
        </w:rPr>
        <w:t>Résumé</w:t>
      </w:r>
    </w:p>
    <w:p w:rsidR="006C0DA4" w:rsidRDefault="006C0DA4" w:rsidP="006C0DA4">
      <w:pPr>
        <w:jc w:val="both"/>
      </w:pPr>
    </w:p>
    <w:p w:rsidR="002E2505" w:rsidRPr="002E2505" w:rsidRDefault="002E2505" w:rsidP="002E2505">
      <w:pPr>
        <w:autoSpaceDE w:val="0"/>
        <w:autoSpaceDN w:val="0"/>
        <w:adjustRightInd w:val="0"/>
        <w:rPr>
          <w:rFonts w:ascii="Arial" w:hAnsi="Arial" w:cs="Arial"/>
          <w:sz w:val="22"/>
          <w:szCs w:val="22"/>
        </w:rPr>
      </w:pPr>
    </w:p>
    <w:p w:rsidR="002E2505" w:rsidRPr="002E2505" w:rsidRDefault="002E2505" w:rsidP="002E2505">
      <w:pPr>
        <w:pStyle w:val="Paragraphedeliste"/>
        <w:numPr>
          <w:ilvl w:val="0"/>
          <w:numId w:val="1"/>
        </w:numPr>
        <w:autoSpaceDE w:val="0"/>
        <w:autoSpaceDN w:val="0"/>
        <w:adjustRightInd w:val="0"/>
        <w:spacing w:after="0" w:line="240" w:lineRule="auto"/>
        <w:rPr>
          <w:rFonts w:ascii="Arial" w:hAnsi="Arial" w:cs="Arial"/>
          <w:b/>
        </w:rPr>
      </w:pPr>
      <w:r w:rsidRPr="002E2505">
        <w:rPr>
          <w:rFonts w:ascii="Arial" w:hAnsi="Arial" w:cs="Arial"/>
          <w:b/>
        </w:rPr>
        <w:t>Le texte de référence : la décision-cadre relative au mandat d'arrêt européen et aux procédures de remise entre Etats membres</w:t>
      </w:r>
    </w:p>
    <w:p w:rsidR="002E2505" w:rsidRPr="002E2505" w:rsidRDefault="002E2505" w:rsidP="002E2505">
      <w:pPr>
        <w:pStyle w:val="Paragraphedeliste"/>
        <w:autoSpaceDE w:val="0"/>
        <w:autoSpaceDN w:val="0"/>
        <w:adjustRightInd w:val="0"/>
        <w:spacing w:after="0" w:line="240" w:lineRule="auto"/>
        <w:rPr>
          <w:rFonts w:ascii="Arial" w:hAnsi="Arial" w:cs="Arial"/>
        </w:rPr>
      </w:pPr>
    </w:p>
    <w:p w:rsidR="002E2505" w:rsidRPr="002E2505" w:rsidRDefault="002E2505" w:rsidP="002E2505">
      <w:pPr>
        <w:autoSpaceDE w:val="0"/>
        <w:autoSpaceDN w:val="0"/>
        <w:adjustRightInd w:val="0"/>
        <w:jc w:val="both"/>
        <w:rPr>
          <w:rFonts w:ascii="Arial" w:hAnsi="Arial" w:cs="Arial"/>
          <w:sz w:val="22"/>
          <w:szCs w:val="22"/>
        </w:rPr>
      </w:pPr>
      <w:r w:rsidRPr="002E2505">
        <w:rPr>
          <w:rFonts w:ascii="Arial" w:hAnsi="Arial" w:cs="Arial"/>
          <w:sz w:val="22"/>
          <w:szCs w:val="22"/>
        </w:rPr>
        <w:t>Le mandat d’arrêt européen a été introduit en droit luxembourgeois par la loi du 17 mars 2004</w:t>
      </w:r>
      <w:r w:rsidRPr="002E2505">
        <w:rPr>
          <w:rStyle w:val="Appelnotedebasdep"/>
          <w:rFonts w:ascii="Arial" w:hAnsi="Arial"/>
          <w:sz w:val="22"/>
          <w:szCs w:val="22"/>
        </w:rPr>
        <w:footnoteReference w:id="1"/>
      </w:r>
      <w:r w:rsidRPr="002E2505">
        <w:rPr>
          <w:rFonts w:ascii="Arial" w:hAnsi="Arial" w:cs="Arial"/>
          <w:sz w:val="22"/>
          <w:szCs w:val="22"/>
        </w:rPr>
        <w:t>, (ci-après la loi MAE</w:t>
      </w:r>
      <w:r w:rsidRPr="002E2505">
        <w:rPr>
          <w:rStyle w:val="Appelnotedebasdep"/>
          <w:rFonts w:ascii="Arial" w:hAnsi="Arial"/>
          <w:sz w:val="22"/>
          <w:szCs w:val="22"/>
        </w:rPr>
        <w:footnoteReference w:id="2"/>
      </w:r>
      <w:r w:rsidRPr="002E2505">
        <w:rPr>
          <w:rFonts w:ascii="Arial" w:hAnsi="Arial" w:cs="Arial"/>
          <w:sz w:val="22"/>
          <w:szCs w:val="22"/>
        </w:rPr>
        <w:t>), qui met en œuvre la décision-cadre du Conseil du 13 juin 2002 relative au mandat d'arrêt européen et aux procédures de remise entre Etats membres (ci-après la décision-cadre). L’article 1</w:t>
      </w:r>
      <w:r w:rsidRPr="002E2505">
        <w:rPr>
          <w:rFonts w:ascii="Arial" w:hAnsi="Arial" w:cs="Arial"/>
          <w:sz w:val="22"/>
          <w:szCs w:val="22"/>
          <w:vertAlign w:val="superscript"/>
        </w:rPr>
        <w:t>er</w:t>
      </w:r>
      <w:r w:rsidRPr="002E2505">
        <w:rPr>
          <w:rFonts w:ascii="Arial" w:hAnsi="Arial" w:cs="Arial"/>
          <w:sz w:val="22"/>
          <w:szCs w:val="22"/>
        </w:rPr>
        <w:t xml:space="preserve"> paragraphe (1) de cette décision-cadre définit le mandat d’arrêt européen comme étant « […] </w:t>
      </w:r>
      <w:r w:rsidRPr="002E2505">
        <w:rPr>
          <w:rFonts w:ascii="Arial" w:hAnsi="Arial" w:cs="Arial"/>
          <w:i/>
          <w:sz w:val="22"/>
          <w:szCs w:val="22"/>
        </w:rPr>
        <w:t>une décision judiciaire émise par un État membre en vue de l'arrestation et de la remise par un autre État membre d'une personne recherchée pour l'exercice de poursuites pénales ou pour l'exécution d'une peine ou d'une mesure de sûreté privatives de liberté</w:t>
      </w:r>
      <w:r w:rsidRPr="002E2505">
        <w:rPr>
          <w:rFonts w:ascii="Arial" w:hAnsi="Arial" w:cs="Arial"/>
          <w:sz w:val="22"/>
          <w:szCs w:val="22"/>
        </w:rPr>
        <w:t> ». Le mandat d'arrêt européen vise donc le transfert forcé d'une personne d'un Etat membre à un autre. Le champ d’application assigné au mandat d’arrêt européen comprend « </w:t>
      </w:r>
      <w:r w:rsidRPr="002E2505">
        <w:rPr>
          <w:rFonts w:ascii="Arial" w:hAnsi="Arial" w:cs="Arial"/>
          <w:i/>
          <w:sz w:val="22"/>
          <w:szCs w:val="22"/>
        </w:rPr>
        <w:t>[…] des faits punis par la loi de l'État membre d'émission d'une peine ou d'une mesure de sûreté privatives de liberté d'un maximum d'au moins douze mois ou, lorsqu'une condamnation à une peine est intervenue ou qu'une mesure de sûreté a été infligée, pour des condamnations prononcées d'une durée d'au moins quatre mois</w:t>
      </w:r>
      <w:r w:rsidRPr="002E2505">
        <w:rPr>
          <w:rFonts w:ascii="Arial" w:hAnsi="Arial" w:cs="Arial"/>
          <w:sz w:val="22"/>
          <w:szCs w:val="22"/>
        </w:rPr>
        <w:t> »</w:t>
      </w:r>
      <w:r w:rsidRPr="002E2505">
        <w:rPr>
          <w:rStyle w:val="Appelnotedebasdep"/>
          <w:rFonts w:ascii="Arial" w:hAnsi="Arial"/>
          <w:sz w:val="22"/>
          <w:szCs w:val="22"/>
        </w:rPr>
        <w:footnoteReference w:id="3"/>
      </w:r>
      <w:r w:rsidRPr="002E2505">
        <w:rPr>
          <w:rFonts w:ascii="Arial" w:hAnsi="Arial" w:cs="Arial"/>
          <w:sz w:val="22"/>
          <w:szCs w:val="22"/>
        </w:rPr>
        <w:t>.</w:t>
      </w:r>
    </w:p>
    <w:p w:rsidR="002E2505" w:rsidRPr="002E2505" w:rsidRDefault="002E2505" w:rsidP="002E2505">
      <w:pPr>
        <w:autoSpaceDE w:val="0"/>
        <w:autoSpaceDN w:val="0"/>
        <w:adjustRightInd w:val="0"/>
        <w:jc w:val="both"/>
        <w:rPr>
          <w:rFonts w:ascii="Arial" w:hAnsi="Arial" w:cs="Arial"/>
          <w:sz w:val="22"/>
          <w:szCs w:val="22"/>
        </w:rPr>
      </w:pPr>
    </w:p>
    <w:p w:rsidR="002E2505" w:rsidRPr="002E2505" w:rsidRDefault="002E2505" w:rsidP="002E2505">
      <w:pPr>
        <w:autoSpaceDE w:val="0"/>
        <w:autoSpaceDN w:val="0"/>
        <w:adjustRightInd w:val="0"/>
        <w:jc w:val="both"/>
        <w:rPr>
          <w:rFonts w:ascii="Arial" w:hAnsi="Arial" w:cs="Arial"/>
          <w:sz w:val="22"/>
          <w:szCs w:val="22"/>
        </w:rPr>
      </w:pPr>
      <w:r w:rsidRPr="002E2505">
        <w:rPr>
          <w:rFonts w:ascii="Arial" w:hAnsi="Arial" w:cs="Arial"/>
          <w:sz w:val="22"/>
          <w:szCs w:val="22"/>
        </w:rPr>
        <w:t>La décision-cadre a été le premier instrument juridique à appliquer la reconnaissance mutuelle, principe de base du droit communautaire, au domaine spécifique du droit pénal.  Lors du sommet de Tampere les 15 et 16 octobre 1999, les chefs d’Etat et de gouvernement ont souligné que le principe de la reconnaissance mutuelle devait devenir la pierre angulaire de la coopération judiciaire en matière civile et pénale</w:t>
      </w:r>
      <w:r w:rsidRPr="002E2505">
        <w:rPr>
          <w:rStyle w:val="Appelnotedebasdep"/>
          <w:rFonts w:ascii="Arial" w:hAnsi="Arial"/>
          <w:sz w:val="22"/>
          <w:szCs w:val="22"/>
        </w:rPr>
        <w:footnoteReference w:id="4"/>
      </w:r>
      <w:r w:rsidRPr="002E2505">
        <w:rPr>
          <w:rFonts w:ascii="Arial" w:hAnsi="Arial" w:cs="Arial"/>
          <w:sz w:val="22"/>
          <w:szCs w:val="22"/>
        </w:rPr>
        <w:t>. La décision-cadre visait ainsi à remplacer le système traditionnel de l’extradition fondé sur une multitude de conventions européennes et internationales</w:t>
      </w:r>
      <w:r w:rsidRPr="002E2505">
        <w:rPr>
          <w:rStyle w:val="Appelnotedebasdep"/>
          <w:rFonts w:ascii="Arial" w:hAnsi="Arial"/>
          <w:sz w:val="22"/>
          <w:szCs w:val="22"/>
        </w:rPr>
        <w:footnoteReference w:id="5"/>
      </w:r>
      <w:r w:rsidRPr="002E2505">
        <w:rPr>
          <w:rFonts w:ascii="Arial" w:hAnsi="Arial" w:cs="Arial"/>
          <w:sz w:val="22"/>
          <w:szCs w:val="22"/>
        </w:rPr>
        <w:t>. La Commission européenne a précisé qu’ «[</w:t>
      </w:r>
      <w:r w:rsidRPr="002E2505">
        <w:rPr>
          <w:rFonts w:ascii="Arial" w:hAnsi="Arial" w:cs="Arial"/>
          <w:i/>
          <w:sz w:val="22"/>
          <w:szCs w:val="22"/>
        </w:rPr>
        <w:t xml:space="preserve">E]en matière </w:t>
      </w:r>
      <w:r w:rsidRPr="002E2505">
        <w:rPr>
          <w:rFonts w:ascii="Arial" w:hAnsi="Arial" w:cs="Arial"/>
          <w:i/>
          <w:sz w:val="22"/>
          <w:szCs w:val="22"/>
        </w:rPr>
        <w:lastRenderedPageBreak/>
        <w:t>d'extradition, l'application du principe de reconnaissance mutuelle conduit à ce que chaque autorité judiciaire nationale reconnaisse ipso facto, et moyennant des contrôles minimaux, la demande de remise d'une personne formulée par l'autorité judiciaire d'un autre Etat membre</w:t>
      </w:r>
      <w:r w:rsidRPr="002E2505">
        <w:rPr>
          <w:rFonts w:ascii="Arial" w:hAnsi="Arial" w:cs="Arial"/>
          <w:sz w:val="22"/>
          <w:szCs w:val="22"/>
        </w:rPr>
        <w:t>»</w:t>
      </w:r>
      <w:r w:rsidRPr="002E2505">
        <w:rPr>
          <w:rStyle w:val="Appelnotedebasdep"/>
          <w:rFonts w:ascii="Arial" w:hAnsi="Arial"/>
          <w:sz w:val="22"/>
          <w:szCs w:val="22"/>
        </w:rPr>
        <w:footnoteReference w:id="6"/>
      </w:r>
      <w:r w:rsidRPr="002E2505">
        <w:rPr>
          <w:rFonts w:ascii="Arial" w:hAnsi="Arial" w:cs="Arial"/>
          <w:sz w:val="22"/>
          <w:szCs w:val="22"/>
        </w:rPr>
        <w:t>. Une des conséquences essentielles de ce principe a été la suppression, du moins partielle, de l’exigence de la double incrimination. Le décision-cadre a établi une liste d’infractions pour lesquelles aucun contrôle de double incrimination ne pourra être effectué (article 2 paragraphe (2)</w:t>
      </w:r>
      <w:r w:rsidRPr="002E2505">
        <w:rPr>
          <w:rStyle w:val="Appelnotedebasdep"/>
          <w:rFonts w:ascii="Arial" w:hAnsi="Arial"/>
          <w:sz w:val="22"/>
          <w:szCs w:val="22"/>
        </w:rPr>
        <w:footnoteReference w:id="7"/>
      </w:r>
      <w:r w:rsidRPr="002E2505">
        <w:rPr>
          <w:rFonts w:ascii="Arial" w:hAnsi="Arial" w:cs="Arial"/>
          <w:sz w:val="22"/>
          <w:szCs w:val="22"/>
        </w:rPr>
        <w:t>). Pour les autres infractions, non-énumérées par cette disposition, la remise peut être subordonnée à la condition que les faits pour lesquels le mandat d'arrêt européen a été émis constituent une infraction au regard du droit de l'Etat membre d'exécution, quels que soient les éléments constitutifs ou la qualification de celle-ci</w:t>
      </w:r>
      <w:r w:rsidRPr="002E2505">
        <w:rPr>
          <w:rStyle w:val="Appelnotedebasdep"/>
          <w:rFonts w:ascii="Arial" w:hAnsi="Arial"/>
          <w:sz w:val="22"/>
          <w:szCs w:val="22"/>
        </w:rPr>
        <w:footnoteReference w:id="8"/>
      </w:r>
      <w:r w:rsidRPr="002E2505">
        <w:rPr>
          <w:rFonts w:ascii="Arial" w:hAnsi="Arial" w:cs="Arial"/>
          <w:sz w:val="22"/>
          <w:szCs w:val="22"/>
        </w:rPr>
        <w:t>.</w:t>
      </w:r>
    </w:p>
    <w:p w:rsidR="002E2505" w:rsidRPr="002E2505" w:rsidRDefault="002E2505" w:rsidP="002E2505">
      <w:pPr>
        <w:autoSpaceDE w:val="0"/>
        <w:autoSpaceDN w:val="0"/>
        <w:adjustRightInd w:val="0"/>
        <w:jc w:val="both"/>
        <w:rPr>
          <w:rFonts w:ascii="Arial" w:hAnsi="Arial" w:cs="Arial"/>
          <w:sz w:val="22"/>
          <w:szCs w:val="22"/>
        </w:rPr>
      </w:pPr>
    </w:p>
    <w:p w:rsidR="002E2505" w:rsidRPr="002E2505" w:rsidRDefault="002E2505" w:rsidP="002E2505">
      <w:pPr>
        <w:autoSpaceDE w:val="0"/>
        <w:autoSpaceDN w:val="0"/>
        <w:adjustRightInd w:val="0"/>
        <w:jc w:val="both"/>
        <w:rPr>
          <w:rFonts w:ascii="Arial" w:hAnsi="Arial" w:cs="Arial"/>
          <w:sz w:val="22"/>
          <w:szCs w:val="22"/>
        </w:rPr>
      </w:pPr>
      <w:r w:rsidRPr="002E2505">
        <w:rPr>
          <w:rFonts w:ascii="Arial" w:hAnsi="Arial" w:cs="Arial"/>
          <w:sz w:val="22"/>
          <w:szCs w:val="22"/>
        </w:rPr>
        <w:t>La décision-cadre a été ainsi le point de départ d’une législation nationale fondée sur le principe de la reconnaissance mutuelle et touchant à des aspects de plus en plus nombreux du droit pénal. Le Luxembourg vient encore de se conformer très récemment à la décision-cadre 2008/909/JAI du 27 novembre 2008 concernant l’application du principe de reconnaissance mutuelle aux jugements en matière pénale prononçant des peines ou des mesures privatives de liberté aux fins de leur exécution dans l’Union européenne</w:t>
      </w:r>
      <w:r w:rsidRPr="002E2505">
        <w:rPr>
          <w:rStyle w:val="Appelnotedebasdep"/>
          <w:rFonts w:ascii="Arial" w:hAnsi="Arial"/>
          <w:sz w:val="22"/>
          <w:szCs w:val="22"/>
        </w:rPr>
        <w:footnoteReference w:id="9"/>
      </w:r>
      <w:r w:rsidRPr="002E2505">
        <w:rPr>
          <w:rFonts w:ascii="Arial" w:hAnsi="Arial" w:cs="Arial"/>
          <w:sz w:val="22"/>
          <w:szCs w:val="22"/>
        </w:rPr>
        <w:t>. La loi du 23 février 2010 relative à l'application du principe de reconnaissance mutuelle aux sanctions pécuniaires en est un autre exemple.</w:t>
      </w:r>
    </w:p>
    <w:p w:rsidR="002E2505" w:rsidRPr="002E2505" w:rsidRDefault="002E2505" w:rsidP="002E2505">
      <w:pPr>
        <w:autoSpaceDE w:val="0"/>
        <w:autoSpaceDN w:val="0"/>
        <w:adjustRightInd w:val="0"/>
        <w:jc w:val="both"/>
        <w:rPr>
          <w:rFonts w:ascii="Arial" w:hAnsi="Arial" w:cs="Arial"/>
          <w:sz w:val="22"/>
          <w:szCs w:val="22"/>
        </w:rPr>
      </w:pPr>
    </w:p>
    <w:p w:rsidR="002E2505" w:rsidRPr="002E2505" w:rsidRDefault="002E2505" w:rsidP="002E2505">
      <w:pPr>
        <w:autoSpaceDE w:val="0"/>
        <w:autoSpaceDN w:val="0"/>
        <w:adjustRightInd w:val="0"/>
        <w:jc w:val="both"/>
        <w:rPr>
          <w:rFonts w:ascii="Arial" w:hAnsi="Arial" w:cs="Arial"/>
          <w:sz w:val="22"/>
          <w:szCs w:val="22"/>
        </w:rPr>
      </w:pPr>
    </w:p>
    <w:p w:rsidR="002E2505" w:rsidRPr="002E2505" w:rsidRDefault="002E2505" w:rsidP="002E2505">
      <w:pPr>
        <w:pStyle w:val="Paragraphedeliste"/>
        <w:numPr>
          <w:ilvl w:val="0"/>
          <w:numId w:val="1"/>
        </w:numPr>
        <w:autoSpaceDE w:val="0"/>
        <w:autoSpaceDN w:val="0"/>
        <w:adjustRightInd w:val="0"/>
        <w:spacing w:after="0" w:line="240" w:lineRule="auto"/>
        <w:jc w:val="both"/>
        <w:rPr>
          <w:rFonts w:ascii="Arial" w:hAnsi="Arial" w:cs="Arial"/>
          <w:b/>
        </w:rPr>
      </w:pPr>
      <w:r w:rsidRPr="002E2505">
        <w:rPr>
          <w:rFonts w:ascii="Arial" w:hAnsi="Arial" w:cs="Arial"/>
          <w:b/>
        </w:rPr>
        <w:t>Une adaptation nécessaire de la loi du 17 mars 2004 relative au mandat d’arrêt européen et aux procédures de remise entre Etats membres de l’Union européenne</w:t>
      </w:r>
    </w:p>
    <w:p w:rsidR="002E2505" w:rsidRPr="002E2505" w:rsidRDefault="002E2505" w:rsidP="002E2505">
      <w:pPr>
        <w:autoSpaceDE w:val="0"/>
        <w:autoSpaceDN w:val="0"/>
        <w:adjustRightInd w:val="0"/>
        <w:jc w:val="both"/>
        <w:rPr>
          <w:rFonts w:ascii="Arial" w:hAnsi="Arial" w:cs="Arial"/>
          <w:sz w:val="22"/>
          <w:szCs w:val="22"/>
        </w:rPr>
      </w:pPr>
    </w:p>
    <w:p w:rsidR="002E2505" w:rsidRPr="002E2505" w:rsidRDefault="002E2505" w:rsidP="002E2505">
      <w:pPr>
        <w:autoSpaceDE w:val="0"/>
        <w:autoSpaceDN w:val="0"/>
        <w:adjustRightInd w:val="0"/>
        <w:jc w:val="both"/>
        <w:rPr>
          <w:rFonts w:ascii="Arial" w:hAnsi="Arial" w:cs="Arial"/>
          <w:sz w:val="22"/>
          <w:szCs w:val="22"/>
        </w:rPr>
      </w:pPr>
      <w:r w:rsidRPr="002E2505">
        <w:rPr>
          <w:rFonts w:ascii="Arial" w:hAnsi="Arial" w:cs="Arial"/>
          <w:sz w:val="22"/>
          <w:szCs w:val="22"/>
        </w:rPr>
        <w:t>L’objet principal du projet de loi est de répondre aux critiques formulées dans un rapport d’évaluation du Luxembourg sur l’application pratique du mandat d’arrêt européen adopté le 19 novembre 2007 par le Groupe multidisciplinaire sur la criminalité organisée de l’Union européenne (ci-après le GMD)</w:t>
      </w:r>
      <w:r w:rsidRPr="002E2505">
        <w:rPr>
          <w:rStyle w:val="Appelnotedebasdep"/>
          <w:rFonts w:ascii="Arial" w:hAnsi="Arial"/>
          <w:sz w:val="22"/>
          <w:szCs w:val="22"/>
        </w:rPr>
        <w:footnoteReference w:id="10"/>
      </w:r>
      <w:r w:rsidRPr="002E2505">
        <w:rPr>
          <w:rFonts w:ascii="Arial" w:hAnsi="Arial" w:cs="Arial"/>
          <w:sz w:val="22"/>
          <w:szCs w:val="22"/>
        </w:rPr>
        <w:t>.</w:t>
      </w:r>
    </w:p>
    <w:p w:rsidR="002E2505" w:rsidRPr="002E2505" w:rsidRDefault="002E2505" w:rsidP="002E2505">
      <w:pPr>
        <w:autoSpaceDE w:val="0"/>
        <w:autoSpaceDN w:val="0"/>
        <w:adjustRightInd w:val="0"/>
        <w:jc w:val="both"/>
        <w:rPr>
          <w:rFonts w:ascii="Arial" w:hAnsi="Arial" w:cs="Arial"/>
          <w:sz w:val="22"/>
          <w:szCs w:val="22"/>
        </w:rPr>
      </w:pPr>
    </w:p>
    <w:p w:rsidR="002E2505" w:rsidRPr="002E2505" w:rsidRDefault="002E2505" w:rsidP="002E2505">
      <w:pPr>
        <w:autoSpaceDE w:val="0"/>
        <w:autoSpaceDN w:val="0"/>
        <w:adjustRightInd w:val="0"/>
        <w:jc w:val="both"/>
        <w:rPr>
          <w:rFonts w:ascii="Arial" w:hAnsi="Arial" w:cs="Arial"/>
          <w:sz w:val="22"/>
          <w:szCs w:val="22"/>
        </w:rPr>
      </w:pPr>
      <w:r w:rsidRPr="002E2505">
        <w:rPr>
          <w:rFonts w:ascii="Arial" w:hAnsi="Arial" w:cs="Arial"/>
          <w:sz w:val="22"/>
          <w:szCs w:val="22"/>
        </w:rPr>
        <w:t>D’une manière générale, ce groupe d’experts a évalué la législation MAE de manière très favorable en retenant que «</w:t>
      </w:r>
      <w:r w:rsidRPr="002E2505">
        <w:rPr>
          <w:rFonts w:ascii="Arial" w:hAnsi="Arial" w:cs="Arial"/>
          <w:i/>
          <w:sz w:val="22"/>
          <w:szCs w:val="22"/>
        </w:rPr>
        <w:t>[L]la loi est bien rédigée et est très précise sur les procédures d'émission et d'exécution du MAE de sorte que les praticiens ne semblent pas avoir besoin d'outils ou de lignes directrices supplémentaires »</w:t>
      </w:r>
      <w:r w:rsidRPr="002E2505">
        <w:rPr>
          <w:rStyle w:val="Appelnotedebasdep"/>
          <w:rFonts w:ascii="Arial" w:hAnsi="Arial"/>
          <w:i/>
          <w:sz w:val="22"/>
          <w:szCs w:val="22"/>
        </w:rPr>
        <w:footnoteReference w:id="11"/>
      </w:r>
      <w:r w:rsidRPr="002E2505">
        <w:rPr>
          <w:rFonts w:ascii="Arial" w:hAnsi="Arial" w:cs="Arial"/>
          <w:i/>
          <w:sz w:val="22"/>
          <w:szCs w:val="22"/>
        </w:rPr>
        <w:t>. Le reproche principal des experts a trait à l’article 37 de la loi MAE qui prévoit que la date limite pour l'émission ou l'exécution du mandat d’arrêt européen est le 7 août 2002</w:t>
      </w:r>
      <w:r w:rsidRPr="002E2505">
        <w:rPr>
          <w:rStyle w:val="Appelnotedebasdep"/>
          <w:rFonts w:ascii="Arial" w:hAnsi="Arial"/>
          <w:i/>
          <w:sz w:val="22"/>
          <w:szCs w:val="22"/>
        </w:rPr>
        <w:footnoteReference w:id="12"/>
      </w:r>
      <w:r w:rsidRPr="002E2505">
        <w:rPr>
          <w:rFonts w:ascii="Arial" w:hAnsi="Arial" w:cs="Arial"/>
          <w:i/>
          <w:sz w:val="22"/>
          <w:szCs w:val="22"/>
        </w:rPr>
        <w:t>. L’article 37 de la loi MAE prévoit que pour les faits commis antérieurement au 7 août 2002, les dispositions des conventions européennes et internationales précitées</w:t>
      </w:r>
      <w:r w:rsidRPr="002E2505">
        <w:rPr>
          <w:rStyle w:val="Appelnotedebasdep"/>
          <w:rFonts w:ascii="Arial" w:hAnsi="Arial"/>
          <w:i/>
          <w:sz w:val="22"/>
          <w:szCs w:val="22"/>
        </w:rPr>
        <w:footnoteReference w:id="13"/>
      </w:r>
      <w:r w:rsidRPr="002E2505">
        <w:rPr>
          <w:rFonts w:ascii="Arial" w:hAnsi="Arial" w:cs="Arial"/>
          <w:i/>
          <w:sz w:val="22"/>
          <w:szCs w:val="22"/>
        </w:rPr>
        <w:t xml:space="preserve"> continuent à s’appliquer. Les experts du GMD ont indiqué qu’en l’absence de cette disposition «[…] la loi figurerait certainement parmi les meilleures en Europe</w:t>
      </w:r>
      <w:r w:rsidRPr="002E2505">
        <w:rPr>
          <w:rFonts w:ascii="Arial" w:hAnsi="Arial" w:cs="Arial"/>
          <w:sz w:val="22"/>
          <w:szCs w:val="22"/>
        </w:rPr>
        <w:t>»</w:t>
      </w:r>
      <w:r w:rsidRPr="002E2505">
        <w:rPr>
          <w:rStyle w:val="Appelnotedebasdep"/>
          <w:rFonts w:ascii="Arial" w:hAnsi="Arial"/>
          <w:sz w:val="22"/>
          <w:szCs w:val="22"/>
        </w:rPr>
        <w:footnoteReference w:id="14"/>
      </w:r>
      <w:r w:rsidRPr="002E2505">
        <w:rPr>
          <w:rFonts w:ascii="Arial" w:hAnsi="Arial" w:cs="Arial"/>
          <w:sz w:val="22"/>
          <w:szCs w:val="22"/>
        </w:rPr>
        <w:t>.</w:t>
      </w:r>
    </w:p>
    <w:p w:rsidR="002E2505" w:rsidRPr="002E2505" w:rsidRDefault="002E2505" w:rsidP="002E2505">
      <w:pPr>
        <w:autoSpaceDE w:val="0"/>
        <w:autoSpaceDN w:val="0"/>
        <w:adjustRightInd w:val="0"/>
        <w:jc w:val="both"/>
        <w:rPr>
          <w:rFonts w:ascii="Arial" w:hAnsi="Arial" w:cs="Arial"/>
          <w:sz w:val="22"/>
          <w:szCs w:val="22"/>
        </w:rPr>
      </w:pPr>
    </w:p>
    <w:p w:rsidR="002E2505" w:rsidRPr="002E2505" w:rsidRDefault="002E2505" w:rsidP="002E2505">
      <w:pPr>
        <w:autoSpaceDE w:val="0"/>
        <w:autoSpaceDN w:val="0"/>
        <w:adjustRightInd w:val="0"/>
        <w:jc w:val="both"/>
        <w:rPr>
          <w:rFonts w:ascii="Arial" w:hAnsi="Arial" w:cs="Arial"/>
          <w:sz w:val="22"/>
          <w:szCs w:val="22"/>
        </w:rPr>
      </w:pPr>
      <w:r w:rsidRPr="002E2505">
        <w:rPr>
          <w:rFonts w:ascii="Arial" w:hAnsi="Arial" w:cs="Arial"/>
          <w:sz w:val="22"/>
          <w:szCs w:val="22"/>
        </w:rPr>
        <w:t xml:space="preserve">Il est donc logique que la modification de l’article 37 de la loi MAE constitue la priorité principale du projet de loi sous rapport. </w:t>
      </w:r>
    </w:p>
    <w:p w:rsidR="002E2505" w:rsidRPr="002E2505" w:rsidRDefault="002E2505" w:rsidP="002E2505">
      <w:pPr>
        <w:autoSpaceDE w:val="0"/>
        <w:autoSpaceDN w:val="0"/>
        <w:adjustRightInd w:val="0"/>
        <w:jc w:val="both"/>
        <w:rPr>
          <w:rFonts w:ascii="Arial" w:hAnsi="Arial" w:cs="Arial"/>
          <w:sz w:val="22"/>
          <w:szCs w:val="22"/>
        </w:rPr>
      </w:pPr>
    </w:p>
    <w:p w:rsidR="002E2505" w:rsidRPr="002E2505" w:rsidRDefault="002E2505" w:rsidP="002E2505">
      <w:pPr>
        <w:autoSpaceDE w:val="0"/>
        <w:autoSpaceDN w:val="0"/>
        <w:adjustRightInd w:val="0"/>
        <w:jc w:val="both"/>
        <w:rPr>
          <w:rFonts w:ascii="Arial" w:hAnsi="Arial" w:cs="Arial"/>
          <w:sz w:val="22"/>
          <w:szCs w:val="22"/>
        </w:rPr>
      </w:pPr>
      <w:r w:rsidRPr="002E2505">
        <w:rPr>
          <w:rFonts w:ascii="Arial" w:hAnsi="Arial" w:cs="Arial"/>
          <w:sz w:val="22"/>
          <w:szCs w:val="22"/>
        </w:rPr>
        <w:t>Mais le projet de loi entend également pallier à d’autres insuffisances de la loi MAE eu égard à la décision-cadre et soulevées par le GMD. Ainsi la loi MAE est adaptée aux exigences de célérité de la transmission du mandat d’arrêt européen en tenant compte de l’existence du Système d’information Schengen (ci-après le SIS). Le SIS est un système d’information à grande échelle contenant des signalements de personnes et d’objets. Il est utilisé par les gardes-frontières, les fonctionnaires des douanes et les autorités chargées des visas et du maintien de l’ordre dans l’espace Schengen, en vue de garantir un niveau de sécurité élevé</w:t>
      </w:r>
      <w:r w:rsidRPr="002E2505">
        <w:rPr>
          <w:rStyle w:val="Appelnotedebasdep"/>
          <w:rFonts w:ascii="Arial" w:hAnsi="Arial"/>
          <w:sz w:val="22"/>
          <w:szCs w:val="22"/>
        </w:rPr>
        <w:footnoteReference w:id="15"/>
      </w:r>
      <w:r w:rsidRPr="002E2505">
        <w:rPr>
          <w:rFonts w:ascii="Arial" w:hAnsi="Arial" w:cs="Arial"/>
          <w:sz w:val="22"/>
          <w:szCs w:val="22"/>
        </w:rPr>
        <w:t xml:space="preserve">. </w:t>
      </w:r>
    </w:p>
    <w:p w:rsidR="002E2505" w:rsidRPr="002E2505" w:rsidRDefault="002E2505" w:rsidP="002E2505">
      <w:pPr>
        <w:autoSpaceDE w:val="0"/>
        <w:autoSpaceDN w:val="0"/>
        <w:adjustRightInd w:val="0"/>
        <w:jc w:val="both"/>
        <w:rPr>
          <w:rFonts w:ascii="Arial" w:hAnsi="Arial" w:cs="Arial"/>
          <w:sz w:val="22"/>
          <w:szCs w:val="22"/>
        </w:rPr>
      </w:pPr>
    </w:p>
    <w:p w:rsidR="002E2505" w:rsidRPr="002E2505" w:rsidRDefault="002E2505" w:rsidP="002E2505">
      <w:pPr>
        <w:autoSpaceDE w:val="0"/>
        <w:autoSpaceDN w:val="0"/>
        <w:adjustRightInd w:val="0"/>
        <w:jc w:val="both"/>
        <w:rPr>
          <w:rFonts w:ascii="Arial" w:hAnsi="Arial" w:cs="Arial"/>
          <w:sz w:val="22"/>
          <w:szCs w:val="22"/>
        </w:rPr>
      </w:pPr>
      <w:r w:rsidRPr="002E2505">
        <w:rPr>
          <w:rFonts w:ascii="Arial" w:hAnsi="Arial" w:cs="Arial"/>
          <w:sz w:val="22"/>
          <w:szCs w:val="22"/>
        </w:rPr>
        <w:t>Le projet de loi tient compte d’une exigence de la décision-cadre qui veut qu’un «</w:t>
      </w:r>
      <w:r w:rsidRPr="002E2505">
        <w:rPr>
          <w:rFonts w:ascii="Arial" w:hAnsi="Arial" w:cs="Arial"/>
          <w:i/>
          <w:sz w:val="22"/>
          <w:szCs w:val="22"/>
        </w:rPr>
        <w:t>[U]un signalement dans le SIS vaut mandat d'arrêt européen […]</w:t>
      </w:r>
      <w:r w:rsidRPr="002E2505">
        <w:rPr>
          <w:rFonts w:ascii="Arial" w:hAnsi="Arial" w:cs="Arial"/>
          <w:sz w:val="22"/>
          <w:szCs w:val="22"/>
        </w:rPr>
        <w:t>»</w:t>
      </w:r>
      <w:r w:rsidRPr="002E2505">
        <w:rPr>
          <w:rStyle w:val="Appelnotedebasdep"/>
          <w:rFonts w:ascii="Arial" w:hAnsi="Arial"/>
          <w:sz w:val="22"/>
          <w:szCs w:val="22"/>
        </w:rPr>
        <w:footnoteReference w:id="16"/>
      </w:r>
      <w:r w:rsidRPr="002E2505">
        <w:rPr>
          <w:rFonts w:ascii="Arial" w:hAnsi="Arial" w:cs="Arial"/>
          <w:sz w:val="22"/>
          <w:szCs w:val="22"/>
        </w:rPr>
        <w:t xml:space="preserve">. </w:t>
      </w:r>
    </w:p>
    <w:p w:rsidR="002E2505" w:rsidRPr="002E2505" w:rsidRDefault="002E2505" w:rsidP="002E2505">
      <w:pPr>
        <w:autoSpaceDE w:val="0"/>
        <w:autoSpaceDN w:val="0"/>
        <w:adjustRightInd w:val="0"/>
        <w:jc w:val="both"/>
        <w:rPr>
          <w:rFonts w:ascii="Arial" w:hAnsi="Arial" w:cs="Arial"/>
          <w:sz w:val="22"/>
          <w:szCs w:val="22"/>
        </w:rPr>
      </w:pPr>
    </w:p>
    <w:p w:rsidR="002E2505" w:rsidRPr="002E2505" w:rsidRDefault="002E2505" w:rsidP="002E2505">
      <w:pPr>
        <w:autoSpaceDE w:val="0"/>
        <w:autoSpaceDN w:val="0"/>
        <w:adjustRightInd w:val="0"/>
        <w:jc w:val="both"/>
        <w:rPr>
          <w:rFonts w:ascii="Arial" w:hAnsi="Arial" w:cs="Arial"/>
          <w:sz w:val="22"/>
          <w:szCs w:val="22"/>
        </w:rPr>
      </w:pPr>
      <w:r w:rsidRPr="002E2505">
        <w:rPr>
          <w:rFonts w:ascii="Arial" w:hAnsi="Arial" w:cs="Arial"/>
          <w:sz w:val="22"/>
          <w:szCs w:val="22"/>
        </w:rPr>
        <w:t>Dans un même souci d’efficacité et sur recommandation du GMD, le projet de loi prévoit la possibilité pour le Luxembourg d’informer Eurojust si le pays estime qu’il ne pourra respecter les délais impartis pour la remise d’une personne arrêtée. Cette disposition devrait toutefois rester largement inappliquée puisque les experts du GMD ont eux-mêmes pu constater que «</w:t>
      </w:r>
      <w:r w:rsidRPr="002E2505">
        <w:rPr>
          <w:rFonts w:ascii="Arial" w:hAnsi="Arial" w:cs="Arial"/>
          <w:i/>
          <w:sz w:val="22"/>
          <w:szCs w:val="22"/>
        </w:rPr>
        <w:t>[S]sur la base des statistiques concernant les trois années d'application de la loi, […] la procédure d'exécution est très brève. Aucun dépassement de délais n'a été enregistré à ce jour au Luxembourg en tant qu'État d'exécution</w:t>
      </w:r>
      <w:r w:rsidRPr="002E2505">
        <w:rPr>
          <w:rFonts w:ascii="Arial" w:hAnsi="Arial" w:cs="Arial"/>
          <w:sz w:val="22"/>
          <w:szCs w:val="22"/>
        </w:rPr>
        <w:t>»</w:t>
      </w:r>
      <w:r w:rsidRPr="002E2505">
        <w:rPr>
          <w:rStyle w:val="Appelnotedebasdep"/>
          <w:rFonts w:ascii="Arial" w:hAnsi="Arial"/>
          <w:sz w:val="22"/>
          <w:szCs w:val="22"/>
        </w:rPr>
        <w:footnoteReference w:id="17"/>
      </w:r>
      <w:r w:rsidRPr="002E2505">
        <w:rPr>
          <w:rFonts w:ascii="Arial" w:hAnsi="Arial" w:cs="Arial"/>
          <w:sz w:val="22"/>
          <w:szCs w:val="22"/>
        </w:rPr>
        <w:t>.</w:t>
      </w:r>
    </w:p>
    <w:p w:rsidR="002E2505" w:rsidRPr="002E2505" w:rsidRDefault="002E2505" w:rsidP="002E2505">
      <w:pPr>
        <w:autoSpaceDE w:val="0"/>
        <w:autoSpaceDN w:val="0"/>
        <w:adjustRightInd w:val="0"/>
        <w:jc w:val="both"/>
        <w:rPr>
          <w:rFonts w:ascii="Arial" w:hAnsi="Arial" w:cs="Arial"/>
          <w:sz w:val="22"/>
          <w:szCs w:val="22"/>
        </w:rPr>
      </w:pPr>
    </w:p>
    <w:p w:rsidR="002E2505" w:rsidRPr="002E2505" w:rsidRDefault="002E2505" w:rsidP="002E2505">
      <w:pPr>
        <w:autoSpaceDE w:val="0"/>
        <w:autoSpaceDN w:val="0"/>
        <w:adjustRightInd w:val="0"/>
        <w:jc w:val="both"/>
        <w:rPr>
          <w:rFonts w:ascii="Arial" w:hAnsi="Arial" w:cs="Arial"/>
          <w:sz w:val="22"/>
          <w:szCs w:val="22"/>
        </w:rPr>
      </w:pPr>
      <w:r w:rsidRPr="002E2505">
        <w:rPr>
          <w:rFonts w:ascii="Arial" w:hAnsi="Arial" w:cs="Arial"/>
          <w:sz w:val="22"/>
          <w:szCs w:val="22"/>
        </w:rPr>
        <w:t xml:space="preserve">D’autres modifications ont trait à la procédure de remise ou d’extradition ultérieure à un autre Etat que l’Etat auquel le Luxembourg avait initialement remis une personne en vertu d’un mandat d’arrêt européen émis pour une infraction commise avant la première remise de la personne concernée. </w:t>
      </w:r>
    </w:p>
    <w:p w:rsidR="002E2505" w:rsidRPr="002E2505" w:rsidRDefault="002E2505" w:rsidP="002E2505">
      <w:pPr>
        <w:autoSpaceDE w:val="0"/>
        <w:autoSpaceDN w:val="0"/>
        <w:adjustRightInd w:val="0"/>
        <w:jc w:val="both"/>
        <w:rPr>
          <w:rFonts w:ascii="Arial" w:hAnsi="Arial" w:cs="Arial"/>
          <w:sz w:val="22"/>
          <w:szCs w:val="22"/>
        </w:rPr>
      </w:pPr>
    </w:p>
    <w:p w:rsidR="002E2505" w:rsidRPr="002E2505" w:rsidRDefault="002E2505" w:rsidP="002E2505">
      <w:pPr>
        <w:autoSpaceDE w:val="0"/>
        <w:autoSpaceDN w:val="0"/>
        <w:adjustRightInd w:val="0"/>
        <w:jc w:val="both"/>
        <w:rPr>
          <w:rFonts w:ascii="Arial" w:hAnsi="Arial" w:cs="Arial"/>
          <w:sz w:val="22"/>
          <w:szCs w:val="22"/>
        </w:rPr>
      </w:pPr>
      <w:r w:rsidRPr="002E2505">
        <w:rPr>
          <w:rFonts w:ascii="Arial" w:hAnsi="Arial" w:cs="Arial"/>
          <w:sz w:val="22"/>
          <w:szCs w:val="22"/>
        </w:rPr>
        <w:t xml:space="preserve">Au-delà des modifications induites par le rapport du GMD, les auteurs du projet de loi ont également indiqué vouloir adapter la législation MAE aux problèmes pratiques révélés dans l’application quotidienne du mandat d’arrêt européen depuis les six premières années. </w:t>
      </w:r>
    </w:p>
    <w:p w:rsidR="002E2505" w:rsidRPr="002E2505" w:rsidRDefault="002E2505" w:rsidP="002E2505">
      <w:pPr>
        <w:autoSpaceDE w:val="0"/>
        <w:autoSpaceDN w:val="0"/>
        <w:adjustRightInd w:val="0"/>
        <w:jc w:val="both"/>
        <w:rPr>
          <w:rFonts w:ascii="Arial" w:hAnsi="Arial" w:cs="Arial"/>
          <w:sz w:val="22"/>
          <w:szCs w:val="22"/>
        </w:rPr>
      </w:pPr>
    </w:p>
    <w:p w:rsidR="002E2505" w:rsidRPr="002E2505" w:rsidRDefault="002E2505" w:rsidP="002E2505">
      <w:pPr>
        <w:autoSpaceDE w:val="0"/>
        <w:autoSpaceDN w:val="0"/>
        <w:adjustRightInd w:val="0"/>
        <w:jc w:val="both"/>
        <w:rPr>
          <w:rFonts w:ascii="Arial" w:hAnsi="Arial" w:cs="Arial"/>
          <w:sz w:val="22"/>
          <w:szCs w:val="22"/>
        </w:rPr>
      </w:pPr>
      <w:r w:rsidRPr="002E2505">
        <w:rPr>
          <w:rFonts w:ascii="Arial" w:hAnsi="Arial" w:cs="Arial"/>
          <w:sz w:val="22"/>
          <w:szCs w:val="22"/>
        </w:rPr>
        <w:t xml:space="preserve">Dans ce contexte ils proposent de modifier l’article 26 de la loi MAE relatif à l’autorité luxembourgeoise compétente pour émettre un mandat d’arrêt dans les hypothèses où il s’agit soit de rechercher une personne aux fins de poursuites soit de la rechercher aux fins d’exécution d’une peine. </w:t>
      </w:r>
    </w:p>
    <w:p w:rsidR="002E2505" w:rsidRPr="002E2505" w:rsidRDefault="002E2505" w:rsidP="002E2505">
      <w:pPr>
        <w:autoSpaceDE w:val="0"/>
        <w:autoSpaceDN w:val="0"/>
        <w:adjustRightInd w:val="0"/>
        <w:jc w:val="both"/>
        <w:rPr>
          <w:rFonts w:ascii="Arial" w:hAnsi="Arial" w:cs="Arial"/>
          <w:sz w:val="22"/>
          <w:szCs w:val="22"/>
        </w:rPr>
      </w:pPr>
    </w:p>
    <w:p w:rsidR="006C0DA4" w:rsidRPr="002E2505" w:rsidRDefault="006C0DA4" w:rsidP="006C0DA4">
      <w:pPr>
        <w:jc w:val="both"/>
        <w:rPr>
          <w:sz w:val="22"/>
          <w:szCs w:val="22"/>
        </w:rPr>
      </w:pPr>
    </w:p>
    <w:sectPr w:rsidR="006C0DA4" w:rsidRPr="002E250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8BE" w:rsidRDefault="00CD58BE" w:rsidP="003332DC">
      <w:r>
        <w:separator/>
      </w:r>
    </w:p>
  </w:endnote>
  <w:endnote w:type="continuationSeparator" w:id="0">
    <w:p w:rsidR="00CD58BE" w:rsidRDefault="00CD58BE" w:rsidP="0033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505" w:rsidRDefault="002E2505">
    <w:pPr>
      <w:pStyle w:val="Pieddepage"/>
      <w:jc w:val="center"/>
    </w:pPr>
    <w:r>
      <w:fldChar w:fldCharType="begin"/>
    </w:r>
    <w:r>
      <w:instrText xml:space="preserve"> PAGE   \* MERGEFORMAT </w:instrText>
    </w:r>
    <w:r>
      <w:fldChar w:fldCharType="separate"/>
    </w:r>
    <w:r w:rsidR="00985B99">
      <w:rPr>
        <w:noProof/>
      </w:rPr>
      <w:t>1</w:t>
    </w:r>
    <w:r>
      <w:fldChar w:fldCharType="end"/>
    </w:r>
  </w:p>
  <w:p w:rsidR="002E2505" w:rsidRDefault="002E2505">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8BE" w:rsidRDefault="00CD58BE" w:rsidP="003332DC">
      <w:r>
        <w:separator/>
      </w:r>
    </w:p>
  </w:footnote>
  <w:footnote w:type="continuationSeparator" w:id="0">
    <w:p w:rsidR="00CD58BE" w:rsidRDefault="00CD58BE" w:rsidP="003332DC">
      <w:r>
        <w:continuationSeparator/>
      </w:r>
    </w:p>
  </w:footnote>
  <w:footnote w:id="1">
    <w:p w:rsidR="002E2505" w:rsidRPr="00FB325E" w:rsidRDefault="002E2505" w:rsidP="002E2505">
      <w:pPr>
        <w:pStyle w:val="Notedebasdepage"/>
        <w:jc w:val="both"/>
        <w:rPr>
          <w:lang w:val="fr-CH"/>
        </w:rPr>
      </w:pPr>
      <w:r>
        <w:rPr>
          <w:rStyle w:val="Appelnotedebasdep"/>
        </w:rPr>
        <w:footnoteRef/>
      </w:r>
      <w:r>
        <w:t xml:space="preserve"> Relative </w:t>
      </w:r>
      <w:r w:rsidRPr="00FB325E">
        <w:t>au mandat d'arrêt européen et aux procédures de remise</w:t>
      </w:r>
      <w:r>
        <w:t xml:space="preserve"> entre Etats membres de l'Union européenne ; Mémorial </w:t>
      </w:r>
      <w:r w:rsidRPr="002C7C7D">
        <w:t>A</w:t>
      </w:r>
      <w:r>
        <w:t>-</w:t>
      </w:r>
      <w:r w:rsidRPr="002C7C7D">
        <w:t xml:space="preserve"> N° 39</w:t>
      </w:r>
      <w:r>
        <w:t>,</w:t>
      </w:r>
      <w:r w:rsidRPr="002C7C7D">
        <w:t xml:space="preserve"> 22 mars 2004</w:t>
      </w:r>
      <w:r>
        <w:t xml:space="preserve">, page 588. </w:t>
      </w:r>
    </w:p>
  </w:footnote>
  <w:footnote w:id="2">
    <w:p w:rsidR="002E2505" w:rsidRPr="009C081D" w:rsidRDefault="002E2505" w:rsidP="002E2505">
      <w:pPr>
        <w:pStyle w:val="Notedebasdepage"/>
        <w:rPr>
          <w:lang w:val="fr-CH"/>
        </w:rPr>
      </w:pPr>
      <w:r>
        <w:rPr>
          <w:rStyle w:val="Appelnotedebasdep"/>
        </w:rPr>
        <w:footnoteRef/>
      </w:r>
      <w:r>
        <w:t xml:space="preserve"> </w:t>
      </w:r>
      <w:r>
        <w:rPr>
          <w:lang w:val="fr-CH"/>
        </w:rPr>
        <w:t xml:space="preserve">L’abréviation « MAE » signifie mandat d’arrêt européen. </w:t>
      </w:r>
    </w:p>
  </w:footnote>
  <w:footnote w:id="3">
    <w:p w:rsidR="002E2505" w:rsidRPr="00B376CC" w:rsidRDefault="002E2505" w:rsidP="002E2505">
      <w:pPr>
        <w:pStyle w:val="Notedebasdepage"/>
        <w:rPr>
          <w:lang w:val="fr-CH"/>
        </w:rPr>
      </w:pPr>
      <w:r>
        <w:rPr>
          <w:rStyle w:val="Appelnotedebasdep"/>
        </w:rPr>
        <w:footnoteRef/>
      </w:r>
      <w:r>
        <w:t xml:space="preserve"> </w:t>
      </w:r>
      <w:r>
        <w:rPr>
          <w:lang w:val="fr-CH"/>
        </w:rPr>
        <w:t xml:space="preserve">Article 2 de la décision-cadre. </w:t>
      </w:r>
    </w:p>
  </w:footnote>
  <w:footnote w:id="4">
    <w:p w:rsidR="002E2505" w:rsidRPr="008000C3" w:rsidRDefault="002E2505" w:rsidP="002E2505">
      <w:pPr>
        <w:pStyle w:val="Notedebasdepage"/>
        <w:jc w:val="both"/>
        <w:rPr>
          <w:lang w:val="fr-CH"/>
        </w:rPr>
      </w:pPr>
      <w:r>
        <w:rPr>
          <w:rStyle w:val="Appelnotedebasdep"/>
        </w:rPr>
        <w:footnoteRef/>
      </w:r>
      <w:r>
        <w:t xml:space="preserve"> </w:t>
      </w:r>
      <w:r>
        <w:rPr>
          <w:lang w:val="fr-CH"/>
        </w:rPr>
        <w:t xml:space="preserve">Proposition de décision-cadre </w:t>
      </w:r>
      <w:r w:rsidRPr="00A04215">
        <w:rPr>
          <w:lang w:val="fr-CH"/>
        </w:rPr>
        <w:t>relative au mandat d'arrêt europ</w:t>
      </w:r>
      <w:r>
        <w:rPr>
          <w:lang w:val="fr-CH"/>
        </w:rPr>
        <w:t xml:space="preserve">éen et aux procédures de remise </w:t>
      </w:r>
      <w:r w:rsidRPr="00A04215">
        <w:rPr>
          <w:lang w:val="fr-CH"/>
        </w:rPr>
        <w:t>entre Etats membres</w:t>
      </w:r>
      <w:r w:rsidRPr="004809B7">
        <w:rPr>
          <w:lang w:val="fr-CH"/>
        </w:rPr>
        <w:t xml:space="preserve"> COM(2001) 522 final/2</w:t>
      </w:r>
      <w:r>
        <w:rPr>
          <w:lang w:val="fr-CH"/>
        </w:rPr>
        <w:t xml:space="preserve">, 25 septembre 2001, page 2. </w:t>
      </w:r>
    </w:p>
  </w:footnote>
  <w:footnote w:id="5">
    <w:p w:rsidR="002E2505" w:rsidRPr="00A04215" w:rsidRDefault="002E2505" w:rsidP="002E2505">
      <w:pPr>
        <w:pStyle w:val="Notedebasdepage"/>
        <w:jc w:val="both"/>
        <w:rPr>
          <w:lang w:val="fr-CH"/>
        </w:rPr>
      </w:pPr>
      <w:r>
        <w:rPr>
          <w:rStyle w:val="Appelnotedebasdep"/>
        </w:rPr>
        <w:footnoteRef/>
      </w:r>
      <w:r>
        <w:t xml:space="preserve"> Il s’agit des textes suivants: </w:t>
      </w:r>
      <w:r w:rsidRPr="001D7D86">
        <w:rPr>
          <w:lang w:val="fr-CH"/>
        </w:rPr>
        <w:t>la Convention</w:t>
      </w:r>
      <w:r>
        <w:rPr>
          <w:lang w:val="fr-CH"/>
        </w:rPr>
        <w:t xml:space="preserve"> européenne d'extradition du 13 </w:t>
      </w:r>
      <w:r w:rsidRPr="001D7D86">
        <w:rPr>
          <w:lang w:val="fr-CH"/>
        </w:rPr>
        <w:t xml:space="preserve">décembre 1957, </w:t>
      </w:r>
      <w:r>
        <w:rPr>
          <w:lang w:val="fr-CH"/>
        </w:rPr>
        <w:t xml:space="preserve">le protocole additionnel à cette Convention du 15 octobre 1975, le second protocole additionnel du 17 mars 1978, la Convention </w:t>
      </w:r>
      <w:r w:rsidRPr="001D7D86">
        <w:rPr>
          <w:lang w:val="fr-CH"/>
        </w:rPr>
        <w:t>européenne du 27 janvier 1977 pour la répression d</w:t>
      </w:r>
      <w:r>
        <w:rPr>
          <w:lang w:val="fr-CH"/>
        </w:rPr>
        <w:t xml:space="preserve">u terrorisme. La Commission européenne précise dans sa proposition de décision-cadre </w:t>
      </w:r>
      <w:r w:rsidRPr="00A04215">
        <w:rPr>
          <w:lang w:val="fr-CH"/>
        </w:rPr>
        <w:t>relative au mandat d'arrêt europ</w:t>
      </w:r>
      <w:r>
        <w:rPr>
          <w:lang w:val="fr-CH"/>
        </w:rPr>
        <w:t xml:space="preserve">éen et aux procédures de remise </w:t>
      </w:r>
      <w:r w:rsidRPr="00A04215">
        <w:rPr>
          <w:lang w:val="fr-CH"/>
        </w:rPr>
        <w:t>entre Etats membres</w:t>
      </w:r>
      <w:r>
        <w:rPr>
          <w:lang w:val="fr-CH"/>
        </w:rPr>
        <w:t>, que « </w:t>
      </w:r>
      <w:r w:rsidRPr="00A04215">
        <w:rPr>
          <w:lang w:val="fr-CH"/>
        </w:rPr>
        <w:t xml:space="preserve">La Convention d'application de l'accord Schengen à travers la </w:t>
      </w:r>
      <w:r>
        <w:rPr>
          <w:lang w:val="fr-CH"/>
        </w:rPr>
        <w:t xml:space="preserve">mise en place du SIS, a créé un </w:t>
      </w:r>
      <w:r w:rsidRPr="00A04215">
        <w:rPr>
          <w:lang w:val="fr-CH"/>
        </w:rPr>
        <w:t xml:space="preserve">dispositif permettant, dans la pratique, d'améliorer </w:t>
      </w:r>
      <w:r>
        <w:rPr>
          <w:lang w:val="fr-CH"/>
        </w:rPr>
        <w:t xml:space="preserve">considérablement les mécanismes </w:t>
      </w:r>
      <w:r w:rsidRPr="00A04215">
        <w:rPr>
          <w:lang w:val="fr-CH"/>
        </w:rPr>
        <w:t>d'information entre les Etats membres relativement aux personn</w:t>
      </w:r>
      <w:r>
        <w:rPr>
          <w:lang w:val="fr-CH"/>
        </w:rPr>
        <w:t xml:space="preserve">es recherchées, et de faciliter </w:t>
      </w:r>
      <w:r w:rsidRPr="00A04215">
        <w:rPr>
          <w:lang w:val="fr-CH"/>
        </w:rPr>
        <w:t>les contacts entre autorités nationales lors de l'arrestatio</w:t>
      </w:r>
      <w:r>
        <w:rPr>
          <w:lang w:val="fr-CH"/>
        </w:rPr>
        <w:t xml:space="preserve">n d'une personne. Juridiquement </w:t>
      </w:r>
      <w:r w:rsidRPr="00A04215">
        <w:rPr>
          <w:lang w:val="fr-CH"/>
        </w:rPr>
        <w:t>toutefois, la Convention Schengen n'apporte rien au rega</w:t>
      </w:r>
      <w:r>
        <w:rPr>
          <w:lang w:val="fr-CH"/>
        </w:rPr>
        <w:t xml:space="preserve">rd des mécanismes classiques de </w:t>
      </w:r>
      <w:r w:rsidRPr="00A04215">
        <w:rPr>
          <w:lang w:val="fr-CH"/>
        </w:rPr>
        <w:t>l'extradition prévus par la Convention de 1957.</w:t>
      </w:r>
    </w:p>
    <w:p w:rsidR="002E2505" w:rsidRPr="0045644C" w:rsidRDefault="002E2505" w:rsidP="002E2505">
      <w:pPr>
        <w:pStyle w:val="Notedebasdepage"/>
        <w:jc w:val="both"/>
        <w:rPr>
          <w:lang w:val="fr-CH"/>
        </w:rPr>
      </w:pPr>
      <w:r w:rsidRPr="00A04215">
        <w:rPr>
          <w:lang w:val="fr-CH"/>
        </w:rPr>
        <w:t>La Convention relative à la procédure simplifiée d'extradi</w:t>
      </w:r>
      <w:r>
        <w:rPr>
          <w:lang w:val="fr-CH"/>
        </w:rPr>
        <w:t xml:space="preserve">tion entre les Etats membres de </w:t>
      </w:r>
      <w:r w:rsidRPr="00A04215">
        <w:rPr>
          <w:lang w:val="fr-CH"/>
        </w:rPr>
        <w:t>l'Union Européenne du 10 mars 1995 (ci-après dén</w:t>
      </w:r>
      <w:r>
        <w:rPr>
          <w:lang w:val="fr-CH"/>
        </w:rPr>
        <w:t xml:space="preserve">ommée Convention de 1995) ou la </w:t>
      </w:r>
      <w:r w:rsidRPr="00A04215">
        <w:rPr>
          <w:lang w:val="fr-CH"/>
        </w:rPr>
        <w:t>Convention relative à l'extradition entre les Etats memb</w:t>
      </w:r>
      <w:r>
        <w:rPr>
          <w:lang w:val="fr-CH"/>
        </w:rPr>
        <w:t xml:space="preserve">res de l'Union Européenne du 27 </w:t>
      </w:r>
      <w:r w:rsidRPr="00A04215">
        <w:rPr>
          <w:lang w:val="fr-CH"/>
        </w:rPr>
        <w:t>septembre 1996 (ci-après dénommée Convention de 1996), on</w:t>
      </w:r>
      <w:r>
        <w:rPr>
          <w:lang w:val="fr-CH"/>
        </w:rPr>
        <w:t xml:space="preserve">t eu pour but d'accélérer et de </w:t>
      </w:r>
      <w:r w:rsidRPr="00A04215">
        <w:rPr>
          <w:lang w:val="fr-CH"/>
        </w:rPr>
        <w:t>simplifier les mécanismes de la Convention de 1957, et d'é</w:t>
      </w:r>
      <w:r>
        <w:rPr>
          <w:lang w:val="fr-CH"/>
        </w:rPr>
        <w:t xml:space="preserve">liminer la plupart des réserves </w:t>
      </w:r>
      <w:r w:rsidRPr="00A04215">
        <w:rPr>
          <w:lang w:val="fr-CH"/>
        </w:rPr>
        <w:t>possibles à celle-ci. Elles ne rompent pas toutefois avec le méca</w:t>
      </w:r>
      <w:r>
        <w:rPr>
          <w:lang w:val="fr-CH"/>
        </w:rPr>
        <w:t xml:space="preserve">nisme, par définition politique </w:t>
      </w:r>
      <w:r w:rsidRPr="00A04215">
        <w:rPr>
          <w:lang w:val="fr-CH"/>
        </w:rPr>
        <w:t>et intergouvernemental de l'extradition. En outre, elles n'ont é</w:t>
      </w:r>
      <w:r>
        <w:rPr>
          <w:lang w:val="fr-CH"/>
        </w:rPr>
        <w:t xml:space="preserve">té ratifiées respectivement que </w:t>
      </w:r>
      <w:r w:rsidRPr="00A04215">
        <w:rPr>
          <w:lang w:val="fr-CH"/>
        </w:rPr>
        <w:t>par neuf et huit Etats</w:t>
      </w:r>
      <w:r>
        <w:rPr>
          <w:lang w:val="fr-CH"/>
        </w:rPr>
        <w:t xml:space="preserve"> </w:t>
      </w:r>
      <w:r w:rsidRPr="00A04215">
        <w:rPr>
          <w:lang w:val="fr-CH"/>
        </w:rPr>
        <w:t>membres</w:t>
      </w:r>
      <w:r>
        <w:rPr>
          <w:lang w:val="fr-CH"/>
        </w:rPr>
        <w:t xml:space="preserve"> », </w:t>
      </w:r>
      <w:r w:rsidRPr="004809B7">
        <w:rPr>
          <w:lang w:val="fr-CH"/>
        </w:rPr>
        <w:t>COM(2001) 522 final/2</w:t>
      </w:r>
      <w:r>
        <w:rPr>
          <w:lang w:val="fr-CH"/>
        </w:rPr>
        <w:t xml:space="preserve">, 25 septembre 2001. </w:t>
      </w:r>
    </w:p>
  </w:footnote>
  <w:footnote w:id="6">
    <w:p w:rsidR="002E2505" w:rsidRPr="00180798" w:rsidRDefault="002E2505" w:rsidP="002E2505">
      <w:pPr>
        <w:pStyle w:val="Notedebasdepage"/>
        <w:jc w:val="both"/>
        <w:rPr>
          <w:lang w:val="fr-CH"/>
        </w:rPr>
      </w:pPr>
      <w:r>
        <w:rPr>
          <w:rStyle w:val="Appelnotedebasdep"/>
        </w:rPr>
        <w:footnoteRef/>
      </w:r>
      <w:r>
        <w:t xml:space="preserve"> </w:t>
      </w:r>
      <w:r>
        <w:rPr>
          <w:lang w:val="fr-CH"/>
        </w:rPr>
        <w:t xml:space="preserve">Proposition de décision-cadre </w:t>
      </w:r>
      <w:r w:rsidRPr="00A04215">
        <w:rPr>
          <w:lang w:val="fr-CH"/>
        </w:rPr>
        <w:t>relative au mandat d'arrêt europ</w:t>
      </w:r>
      <w:r>
        <w:rPr>
          <w:lang w:val="fr-CH"/>
        </w:rPr>
        <w:t xml:space="preserve">éen et aux procédures de remise entre Etats </w:t>
      </w:r>
      <w:r w:rsidRPr="00A04215">
        <w:rPr>
          <w:lang w:val="fr-CH"/>
        </w:rPr>
        <w:t>membres</w:t>
      </w:r>
      <w:r>
        <w:rPr>
          <w:lang w:val="fr-CH"/>
        </w:rPr>
        <w:t xml:space="preserve">, </w:t>
      </w:r>
      <w:r w:rsidRPr="004809B7">
        <w:rPr>
          <w:lang w:val="fr-CH"/>
        </w:rPr>
        <w:t>COM(2001) 522 final/2</w:t>
      </w:r>
      <w:r>
        <w:rPr>
          <w:lang w:val="fr-CH"/>
        </w:rPr>
        <w:t xml:space="preserve">, 25 septembre 2001, page 2. </w:t>
      </w:r>
    </w:p>
  </w:footnote>
  <w:footnote w:id="7">
    <w:p w:rsidR="002E2505" w:rsidRPr="00EC7CFC" w:rsidRDefault="002E2505" w:rsidP="002E2505">
      <w:pPr>
        <w:pStyle w:val="Notedebasdepage"/>
        <w:jc w:val="both"/>
        <w:rPr>
          <w:lang w:val="fr-CH"/>
        </w:rPr>
      </w:pPr>
      <w:r>
        <w:rPr>
          <w:rStyle w:val="Appelnotedebasdep"/>
        </w:rPr>
        <w:footnoteRef/>
      </w:r>
      <w:r>
        <w:t xml:space="preserve"> </w:t>
      </w:r>
      <w:r>
        <w:rPr>
          <w:lang w:val="fr-CH"/>
        </w:rPr>
        <w:t xml:space="preserve">Il s’agit notamment des infractions suivantes : </w:t>
      </w:r>
      <w:r w:rsidRPr="00EC7CFC">
        <w:rPr>
          <w:lang w:val="fr-CH"/>
        </w:rPr>
        <w:t>le terrorisme, la traite des êtres humains, la corruption, la</w:t>
      </w:r>
      <w:r>
        <w:rPr>
          <w:lang w:val="fr-CH"/>
        </w:rPr>
        <w:t xml:space="preserve"> </w:t>
      </w:r>
      <w:r w:rsidRPr="00EC7CFC">
        <w:rPr>
          <w:lang w:val="fr-CH"/>
        </w:rPr>
        <w:t>participation à une organisation criminelle, le faux monnayage, l’homicide, le rac</w:t>
      </w:r>
      <w:r>
        <w:rPr>
          <w:lang w:val="fr-CH"/>
        </w:rPr>
        <w:t xml:space="preserve">isme et la xénophobie, le viol, </w:t>
      </w:r>
      <w:r w:rsidRPr="00EC7CFC">
        <w:rPr>
          <w:lang w:val="fr-CH"/>
        </w:rPr>
        <w:t>le trafic de véhicules volés, la fraude, y compris la fraude aux intérêts financiers de l’Union.</w:t>
      </w:r>
    </w:p>
  </w:footnote>
  <w:footnote w:id="8">
    <w:p w:rsidR="002E2505" w:rsidRPr="003759D4" w:rsidRDefault="002E2505" w:rsidP="002E2505">
      <w:pPr>
        <w:pStyle w:val="Notedebasdepage"/>
        <w:rPr>
          <w:lang w:val="fr-CH"/>
        </w:rPr>
      </w:pPr>
      <w:r>
        <w:rPr>
          <w:rStyle w:val="Appelnotedebasdep"/>
        </w:rPr>
        <w:footnoteRef/>
      </w:r>
      <w:r>
        <w:t xml:space="preserve">Article 2 paragraphe (4) de la décision-cadre. </w:t>
      </w:r>
    </w:p>
  </w:footnote>
  <w:footnote w:id="9">
    <w:p w:rsidR="002E2505" w:rsidRPr="008D2A2B" w:rsidRDefault="002E2505" w:rsidP="002E2505">
      <w:pPr>
        <w:pStyle w:val="Notedebasdepage"/>
        <w:jc w:val="both"/>
      </w:pPr>
      <w:r>
        <w:rPr>
          <w:rStyle w:val="Appelnotedebasdep"/>
        </w:rPr>
        <w:footnoteRef/>
      </w:r>
      <w:r>
        <w:t xml:space="preserve"> Loi du 28 février 2011 relative à la reconnaissance de jugements en matière pénale ayant prononcé des peines ou des mesures privatives de liberté aux fins de leur exécution dans un autre Etat membre de l’Union européenne, Mémorial </w:t>
      </w:r>
      <w:r w:rsidRPr="00CA64B7">
        <w:t>A</w:t>
      </w:r>
      <w:r>
        <w:t>-</w:t>
      </w:r>
      <w:r w:rsidRPr="00CA64B7">
        <w:t xml:space="preserve"> N° 44</w:t>
      </w:r>
      <w:r>
        <w:t>,</w:t>
      </w:r>
      <w:r w:rsidRPr="00CA64B7">
        <w:t xml:space="preserve"> 8 mars 2011</w:t>
      </w:r>
      <w:r>
        <w:t>, page 634.</w:t>
      </w:r>
    </w:p>
  </w:footnote>
  <w:footnote w:id="10">
    <w:p w:rsidR="002E2505" w:rsidRPr="003952E2" w:rsidRDefault="002E2505" w:rsidP="002E2505">
      <w:pPr>
        <w:pStyle w:val="Notedebasdepage"/>
        <w:jc w:val="both"/>
        <w:rPr>
          <w:lang w:val="fr-CH"/>
        </w:rPr>
      </w:pPr>
      <w:r>
        <w:rPr>
          <w:rStyle w:val="Appelnotedebasdep"/>
        </w:rPr>
        <w:footnoteRef/>
      </w:r>
      <w:r>
        <w:t xml:space="preserve"> </w:t>
      </w:r>
      <w:r>
        <w:rPr>
          <w:lang w:val="fr-CH"/>
        </w:rPr>
        <w:t xml:space="preserve">GMD, </w:t>
      </w:r>
      <w:r w:rsidRPr="003952E2">
        <w:rPr>
          <w:lang w:val="fr-CH"/>
        </w:rPr>
        <w:t>Rapport d'évaluation sur la quatrièm</w:t>
      </w:r>
      <w:r>
        <w:rPr>
          <w:lang w:val="fr-CH"/>
        </w:rPr>
        <w:t>e série d'évaluations mutuelles «</w:t>
      </w:r>
      <w:r w:rsidRPr="00D53393">
        <w:rPr>
          <w:i/>
          <w:lang w:val="fr-CH"/>
        </w:rPr>
        <w:t xml:space="preserve">l'application pratique du mandat d'arrêt européen et des procédures correspondantes de remise entre </w:t>
      </w:r>
      <w:r>
        <w:rPr>
          <w:i/>
          <w:lang w:val="fr-CH"/>
        </w:rPr>
        <w:t>E</w:t>
      </w:r>
      <w:r w:rsidRPr="00D53393">
        <w:rPr>
          <w:i/>
          <w:lang w:val="fr-CH"/>
        </w:rPr>
        <w:t>tats membres</w:t>
      </w:r>
      <w:r w:rsidRPr="00D53393">
        <w:rPr>
          <w:lang w:val="fr-CH"/>
        </w:rPr>
        <w:t>»</w:t>
      </w:r>
      <w:r w:rsidRPr="003952E2">
        <w:rPr>
          <w:lang w:val="fr-CH"/>
        </w:rPr>
        <w:t xml:space="preserve">- Rapport sur le </w:t>
      </w:r>
      <w:r>
        <w:rPr>
          <w:lang w:val="fr-CH"/>
        </w:rPr>
        <w:t>Luxembourg, 19 novembre 2007, (ci-après le rapport d’évaluation).</w:t>
      </w:r>
    </w:p>
  </w:footnote>
  <w:footnote w:id="11">
    <w:p w:rsidR="002E2505" w:rsidRPr="00402294" w:rsidRDefault="002E2505" w:rsidP="002E2505">
      <w:pPr>
        <w:pStyle w:val="Notedebasdepage"/>
        <w:rPr>
          <w:lang w:val="fr-CH"/>
        </w:rPr>
      </w:pPr>
      <w:r>
        <w:rPr>
          <w:rStyle w:val="Appelnotedebasdep"/>
        </w:rPr>
        <w:footnoteRef/>
      </w:r>
      <w:r>
        <w:t xml:space="preserve"> </w:t>
      </w:r>
      <w:r>
        <w:rPr>
          <w:lang w:val="fr-CH"/>
        </w:rPr>
        <w:t xml:space="preserve">Paragraphe 7.1 du rapport d’évaluation, page 31. </w:t>
      </w:r>
    </w:p>
  </w:footnote>
  <w:footnote w:id="12">
    <w:p w:rsidR="002E2505" w:rsidRPr="00D53393" w:rsidRDefault="002E2505" w:rsidP="002E2505">
      <w:pPr>
        <w:pStyle w:val="Notedebasdepage"/>
        <w:jc w:val="both"/>
        <w:rPr>
          <w:i/>
        </w:rPr>
      </w:pPr>
      <w:r>
        <w:rPr>
          <w:rStyle w:val="Appelnotedebasdep"/>
        </w:rPr>
        <w:footnoteRef/>
      </w:r>
      <w:r>
        <w:t xml:space="preserve"> Selon le GMD, «</w:t>
      </w:r>
      <w:r w:rsidRPr="00D53393">
        <w:rPr>
          <w:i/>
        </w:rPr>
        <w:t>[l]a principale critique émise par l'équipe d'experts réside dans la disposition législative prévoyant la date limite du 7 août 2002, qui est clairement contraire à la décision cadre. L'avis du Conseil d'Etat  aurait déjà dû faire réfléchir le parlement luxembourgeois s'agissant d'une législation européenne à valeur contraignante, non seulement pour les autorités judiciaires (voir l'affaire PUPINO) mais aussi pour les parlements.</w:t>
      </w:r>
    </w:p>
    <w:p w:rsidR="002E2505" w:rsidRPr="00950603" w:rsidRDefault="002E2505" w:rsidP="002E2505">
      <w:pPr>
        <w:pStyle w:val="Notedebasdepage"/>
        <w:jc w:val="both"/>
      </w:pPr>
      <w:r w:rsidRPr="00D53393">
        <w:rPr>
          <w:i/>
        </w:rPr>
        <w:t>De plus le parlement luxembourgeois est le seul en Europe à avoir décidé que la législation du MAE serait inapplicable avant le 8 août 2002 non seulement en matière d'exécution mais aussi en matière d'émission. En conséquence, la législation a eu un impact très négatif sur les procédures réelles d'émission et d'exécution des MAE parfois dans des affaires d'une gravité certaine (par exemple dans le cas d'un homicide)</w:t>
      </w:r>
      <w:r>
        <w:t>», rapport d’évaluation, paragraphe 7.1, page 32.</w:t>
      </w:r>
    </w:p>
  </w:footnote>
  <w:footnote w:id="13">
    <w:p w:rsidR="002E2505" w:rsidRPr="00462678" w:rsidRDefault="002E2505" w:rsidP="002E2505">
      <w:pPr>
        <w:pStyle w:val="Notedebasdepage"/>
        <w:rPr>
          <w:lang w:val="fr-CH"/>
        </w:rPr>
      </w:pPr>
      <w:r>
        <w:rPr>
          <w:rStyle w:val="Appelnotedebasdep"/>
        </w:rPr>
        <w:footnoteRef/>
      </w:r>
      <w:r>
        <w:t xml:space="preserve"> </w:t>
      </w:r>
      <w:r>
        <w:rPr>
          <w:lang w:val="fr-CH"/>
        </w:rPr>
        <w:t xml:space="preserve">Voir, note de bas de page n°5. </w:t>
      </w:r>
    </w:p>
  </w:footnote>
  <w:footnote w:id="14">
    <w:p w:rsidR="002E2505" w:rsidRPr="00462678" w:rsidRDefault="002E2505" w:rsidP="002E2505">
      <w:pPr>
        <w:pStyle w:val="Notedebasdepage"/>
        <w:rPr>
          <w:lang w:val="fr-CH"/>
        </w:rPr>
      </w:pPr>
      <w:r>
        <w:rPr>
          <w:rStyle w:val="Appelnotedebasdep"/>
        </w:rPr>
        <w:footnoteRef/>
      </w:r>
      <w:r>
        <w:t xml:space="preserve"> </w:t>
      </w:r>
      <w:r>
        <w:rPr>
          <w:lang w:val="fr-CH"/>
        </w:rPr>
        <w:t xml:space="preserve">Paragraphe 7.1 du rapport d’évaluation, page 31. </w:t>
      </w:r>
    </w:p>
  </w:footnote>
  <w:footnote w:id="15">
    <w:p w:rsidR="002E2505" w:rsidRPr="00A971A5" w:rsidRDefault="002E2505" w:rsidP="002E2505">
      <w:pPr>
        <w:pStyle w:val="Notedebasdepage"/>
        <w:rPr>
          <w:lang w:val="fr-CH"/>
        </w:rPr>
      </w:pPr>
      <w:r>
        <w:rPr>
          <w:rStyle w:val="Appelnotedebasdep"/>
        </w:rPr>
        <w:footnoteRef/>
      </w:r>
      <w:r>
        <w:t xml:space="preserve"> </w:t>
      </w:r>
      <w:r>
        <w:rPr>
          <w:lang w:val="fr-CH"/>
        </w:rPr>
        <w:t xml:space="preserve">Information issue du Site Internet « Europa, Synthèses de législation », </w:t>
      </w:r>
      <w:r w:rsidRPr="00B7081A">
        <w:rPr>
          <w:lang w:val="fr-CH"/>
        </w:rPr>
        <w:t>Système d’information Schengen 2e génération (SIS II) – règlement (ancien 1er pilier)</w:t>
      </w:r>
      <w:r>
        <w:rPr>
          <w:lang w:val="fr-CH"/>
        </w:rPr>
        <w:t xml:space="preserve">,  </w:t>
      </w:r>
      <w:hyperlink r:id="rId1" w:history="1">
        <w:r w:rsidRPr="00D84133">
          <w:rPr>
            <w:rStyle w:val="Lienhypertexte"/>
            <w:lang w:val="fr-CH"/>
          </w:rPr>
          <w:t>http://europa.eu/legislation_summaries/justice_freedom_security/free_movement_of_persons_asylum_immigration/l14544_fr.htm</w:t>
        </w:r>
      </w:hyperlink>
      <w:r>
        <w:rPr>
          <w:lang w:val="fr-CH"/>
        </w:rPr>
        <w:t xml:space="preserve"> . </w:t>
      </w:r>
    </w:p>
  </w:footnote>
  <w:footnote w:id="16">
    <w:p w:rsidR="002E2505" w:rsidRPr="00964760" w:rsidRDefault="002E2505" w:rsidP="002E2505">
      <w:pPr>
        <w:pStyle w:val="Notedebasdepage"/>
        <w:rPr>
          <w:lang w:val="fr-CH"/>
        </w:rPr>
      </w:pPr>
      <w:r>
        <w:rPr>
          <w:rStyle w:val="Appelnotedebasdep"/>
        </w:rPr>
        <w:footnoteRef/>
      </w:r>
      <w:r>
        <w:t xml:space="preserve"> </w:t>
      </w:r>
      <w:r>
        <w:rPr>
          <w:lang w:val="fr-CH"/>
        </w:rPr>
        <w:t xml:space="preserve">Article 9 paragraphe (3) de la décision-cadre. </w:t>
      </w:r>
    </w:p>
  </w:footnote>
  <w:footnote w:id="17">
    <w:p w:rsidR="002E2505" w:rsidRPr="00741265" w:rsidRDefault="002E2505" w:rsidP="002E2505">
      <w:pPr>
        <w:pStyle w:val="Notedebasdepage"/>
        <w:rPr>
          <w:lang w:val="fr-CH"/>
        </w:rPr>
      </w:pPr>
      <w:r>
        <w:rPr>
          <w:rStyle w:val="Appelnotedebasdep"/>
        </w:rPr>
        <w:footnoteRef/>
      </w:r>
      <w:r>
        <w:t xml:space="preserve"> </w:t>
      </w:r>
      <w:r>
        <w:rPr>
          <w:lang w:val="fr-CH"/>
        </w:rPr>
        <w:t>Paragraphe 7.1 du rapport d’évaluation, page 32.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B3E80"/>
    <w:multiLevelType w:val="hybridMultilevel"/>
    <w:tmpl w:val="7C9254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0DA4"/>
    <w:rsid w:val="00200C15"/>
    <w:rsid w:val="00255463"/>
    <w:rsid w:val="002E2505"/>
    <w:rsid w:val="003332DC"/>
    <w:rsid w:val="00424318"/>
    <w:rsid w:val="00592DBC"/>
    <w:rsid w:val="006C0DA4"/>
    <w:rsid w:val="00985B99"/>
    <w:rsid w:val="009F6DC1"/>
    <w:rsid w:val="00B12F3E"/>
    <w:rsid w:val="00CD58BE"/>
    <w:rsid w:val="00DE45A4"/>
    <w:rsid w:val="00E34D87"/>
    <w:rsid w:val="00E96A04"/>
    <w:rsid w:val="00FA29DB"/>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7561010-DBC3-4FFC-AC10-4CF5D82B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DA4"/>
    <w:rPr>
      <w:sz w:val="24"/>
      <w:szCs w:val="24"/>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tedebasdepage">
    <w:name w:val="footnote text"/>
    <w:basedOn w:val="Normal"/>
    <w:link w:val="NotedebasdepageCar"/>
    <w:uiPriority w:val="99"/>
    <w:semiHidden/>
    <w:unhideWhenUsed/>
    <w:rsid w:val="003332DC"/>
    <w:rPr>
      <w:rFonts w:ascii="Calibri" w:hAnsi="Calibri"/>
      <w:sz w:val="20"/>
      <w:szCs w:val="20"/>
    </w:rPr>
  </w:style>
  <w:style w:type="character" w:customStyle="1" w:styleId="NotedebasdepageCar">
    <w:name w:val="Note de bas de page Car"/>
    <w:basedOn w:val="Policepardfaut"/>
    <w:link w:val="Notedebasdepage"/>
    <w:uiPriority w:val="99"/>
    <w:semiHidden/>
    <w:rsid w:val="003332DC"/>
    <w:rPr>
      <w:rFonts w:ascii="Calibri" w:eastAsia="Times New Roman" w:hAnsi="Calibri" w:cs="Times New Roman"/>
      <w:lang w:val="fr-FR" w:eastAsia="fr-FR"/>
    </w:rPr>
  </w:style>
  <w:style w:type="character" w:styleId="Appelnotedebasdep">
    <w:name w:val="footnote reference"/>
    <w:basedOn w:val="Policepardfaut"/>
    <w:uiPriority w:val="99"/>
    <w:semiHidden/>
    <w:unhideWhenUsed/>
    <w:rsid w:val="003332DC"/>
    <w:rPr>
      <w:vertAlign w:val="superscript"/>
    </w:rPr>
  </w:style>
  <w:style w:type="paragraph" w:styleId="Textebrut">
    <w:name w:val="Plain Text"/>
    <w:basedOn w:val="Normal"/>
    <w:link w:val="TextebrutCar"/>
    <w:uiPriority w:val="99"/>
    <w:rsid w:val="003332DC"/>
    <w:pPr>
      <w:jc w:val="both"/>
    </w:pPr>
    <w:rPr>
      <w:rFonts w:ascii="Courier New" w:hAnsi="Courier New"/>
      <w:sz w:val="20"/>
      <w:szCs w:val="20"/>
    </w:rPr>
  </w:style>
  <w:style w:type="character" w:customStyle="1" w:styleId="TextebrutCar">
    <w:name w:val="Texte brut Car"/>
    <w:basedOn w:val="Policepardfaut"/>
    <w:link w:val="Textebrut"/>
    <w:uiPriority w:val="99"/>
    <w:rsid w:val="003332DC"/>
    <w:rPr>
      <w:rFonts w:ascii="Courier New" w:hAnsi="Courier New"/>
      <w:lang w:val="fr-FR" w:eastAsia="fr-FR"/>
    </w:rPr>
  </w:style>
  <w:style w:type="character" w:styleId="Lienhypertexte">
    <w:name w:val="Hyperlink"/>
    <w:basedOn w:val="Policepardfaut"/>
    <w:uiPriority w:val="99"/>
    <w:rsid w:val="002E2505"/>
    <w:rPr>
      <w:rFonts w:cs="Times New Roman"/>
      <w:color w:val="0000FF"/>
      <w:u w:val="single"/>
    </w:rPr>
  </w:style>
  <w:style w:type="paragraph" w:styleId="Paragraphedeliste">
    <w:name w:val="List Paragraph"/>
    <w:basedOn w:val="Normal"/>
    <w:uiPriority w:val="99"/>
    <w:qFormat/>
    <w:rsid w:val="002E2505"/>
    <w:pPr>
      <w:spacing w:after="200" w:line="276" w:lineRule="auto"/>
      <w:ind w:left="720"/>
      <w:contextualSpacing/>
    </w:pPr>
    <w:rPr>
      <w:rFonts w:ascii="Calibri" w:hAnsi="Calibri"/>
      <w:sz w:val="22"/>
      <w:szCs w:val="22"/>
    </w:rPr>
  </w:style>
  <w:style w:type="paragraph" w:styleId="En-tte">
    <w:name w:val="header"/>
    <w:basedOn w:val="Normal"/>
    <w:link w:val="En-tteCar"/>
    <w:uiPriority w:val="99"/>
    <w:semiHidden/>
    <w:unhideWhenUsed/>
    <w:rsid w:val="002E2505"/>
    <w:pPr>
      <w:tabs>
        <w:tab w:val="center" w:pos="4536"/>
        <w:tab w:val="right" w:pos="9072"/>
      </w:tabs>
    </w:pPr>
  </w:style>
  <w:style w:type="character" w:customStyle="1" w:styleId="En-tteCar">
    <w:name w:val="En-tête Car"/>
    <w:basedOn w:val="Policepardfaut"/>
    <w:link w:val="En-tte"/>
    <w:uiPriority w:val="99"/>
    <w:semiHidden/>
    <w:rsid w:val="002E2505"/>
    <w:rPr>
      <w:sz w:val="24"/>
      <w:szCs w:val="24"/>
      <w:lang w:val="fr-FR" w:eastAsia="fr-FR"/>
    </w:rPr>
  </w:style>
  <w:style w:type="paragraph" w:styleId="Pieddepage">
    <w:name w:val="footer"/>
    <w:basedOn w:val="Normal"/>
    <w:link w:val="PieddepageCar"/>
    <w:uiPriority w:val="99"/>
    <w:unhideWhenUsed/>
    <w:rsid w:val="002E2505"/>
    <w:pPr>
      <w:tabs>
        <w:tab w:val="center" w:pos="4536"/>
        <w:tab w:val="right" w:pos="9072"/>
      </w:tabs>
    </w:pPr>
  </w:style>
  <w:style w:type="character" w:customStyle="1" w:styleId="PieddepageCar">
    <w:name w:val="Pied de page Car"/>
    <w:basedOn w:val="Policepardfaut"/>
    <w:link w:val="Pieddepage"/>
    <w:uiPriority w:val="99"/>
    <w:rsid w:val="002E2505"/>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opa.eu/legislation_summaries/justice_freedom_security/free_movement_of_persons_asylum_immigration/l14544_fr.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DP6178</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6178</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/sftpecos/Dossiers_parlementaires/6178/</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05C1C78D-9E60-4B6C-9CEB-0C0F72B85500}"/>
</file>

<file path=customXml/itemProps2.xml><?xml version="1.0" encoding="utf-8"?>
<ds:datastoreItem xmlns:ds="http://schemas.openxmlformats.org/officeDocument/2006/customXml" ds:itemID="{48C79FDD-2877-46B9-AE9E-8BF7710B67B9}"/>
</file>

<file path=customXml/itemProps3.xml><?xml version="1.0" encoding="utf-8"?>
<ds:datastoreItem xmlns:ds="http://schemas.openxmlformats.org/officeDocument/2006/customXml" ds:itemID="{350002CC-06F0-4BA8-9F92-257D9B00F991}"/>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6283</Characters>
  <Application>Microsoft Office Word</Application>
  <DocSecurity>4</DocSecurity>
  <Lines>52</Lines>
  <Paragraphs>14</Paragraphs>
  <ScaleCrop>false</ScaleCrop>
  <HeadingPairs>
    <vt:vector size="2" baseType="variant">
      <vt:variant>
        <vt:lpstr>Titre</vt:lpstr>
      </vt:variant>
      <vt:variant>
        <vt:i4>1</vt:i4>
      </vt:variant>
    </vt:vector>
  </HeadingPairs>
  <TitlesOfParts>
    <vt:vector size="1" baseType="lpstr">
      <vt:lpstr>Proposition de révision de l’article 68 de la Constitution</vt:lpstr>
    </vt:vector>
  </TitlesOfParts>
  <Company/>
  <LinksUpToDate>false</LinksUpToDate>
  <CharactersWithSpaces>7411</CharactersWithSpaces>
  <SharedDoc>false</SharedDoc>
  <HLinks>
    <vt:vector size="6" baseType="variant">
      <vt:variant>
        <vt:i4>1966120</vt:i4>
      </vt:variant>
      <vt:variant>
        <vt:i4>0</vt:i4>
      </vt:variant>
      <vt:variant>
        <vt:i4>0</vt:i4>
      </vt:variant>
      <vt:variant>
        <vt:i4>5</vt:i4>
      </vt:variant>
      <vt:variant>
        <vt:lpwstr>http://europa.eu/legislation_summaries/justice_freedom_security/free_movement_of_persons_asylum_immigration/l14544_fr.htm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Laurent Besch</dc:creator>
  <cp:keywords/>
  <cp:lastModifiedBy>SYSTEM</cp:lastModifiedBy>
  <cp:revision>2</cp:revision>
  <dcterms:created xsi:type="dcterms:W3CDTF">2024-02-21T07:46:00Z</dcterms:created>
  <dcterms:modified xsi:type="dcterms:W3CDTF">2024-02-21T07:46:00Z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