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0C" w:rsidRPr="005A698F" w:rsidRDefault="0003090C" w:rsidP="0003090C">
      <w:pPr>
        <w:jc w:val="center"/>
        <w:rPr>
          <w:b/>
          <w:sz w:val="32"/>
          <w:szCs w:val="32"/>
        </w:rPr>
      </w:pPr>
      <w:bookmarkStart w:id="0" w:name="_GoBack"/>
      <w:bookmarkEnd w:id="0"/>
      <w:r w:rsidRPr="005A698F">
        <w:rPr>
          <w:b/>
          <w:sz w:val="32"/>
          <w:szCs w:val="32"/>
        </w:rPr>
        <w:t>N° 6164</w:t>
      </w:r>
    </w:p>
    <w:p w:rsidR="0003090C" w:rsidRPr="005A698F" w:rsidRDefault="0003090C" w:rsidP="0003090C">
      <w:pPr>
        <w:jc w:val="center"/>
        <w:rPr>
          <w:b/>
          <w:sz w:val="28"/>
          <w:szCs w:val="28"/>
        </w:rPr>
      </w:pPr>
      <w:r w:rsidRPr="005A698F">
        <w:rPr>
          <w:b/>
          <w:sz w:val="28"/>
          <w:szCs w:val="28"/>
        </w:rPr>
        <w:t>Chambre des Députés</w:t>
      </w:r>
    </w:p>
    <w:p w:rsidR="0003090C" w:rsidRPr="005A698F" w:rsidRDefault="0003090C" w:rsidP="0003090C">
      <w:pPr>
        <w:jc w:val="center"/>
        <w:rPr>
          <w:b/>
          <w:sz w:val="28"/>
          <w:szCs w:val="28"/>
        </w:rPr>
      </w:pPr>
      <w:r w:rsidRPr="005A698F">
        <w:rPr>
          <w:b/>
          <w:sz w:val="28"/>
          <w:szCs w:val="28"/>
        </w:rPr>
        <w:t>Session ordinaire 2010-2011</w:t>
      </w:r>
    </w:p>
    <w:p w:rsidR="0003090C" w:rsidRPr="005A698F" w:rsidRDefault="0003090C" w:rsidP="0003090C">
      <w:pPr>
        <w:pBdr>
          <w:bottom w:val="thinThickSmallGap" w:sz="24" w:space="1" w:color="auto"/>
        </w:pBdr>
        <w:jc w:val="center"/>
        <w:rPr>
          <w:b/>
        </w:rPr>
      </w:pPr>
    </w:p>
    <w:p w:rsidR="0003090C" w:rsidRPr="005A698F" w:rsidRDefault="0003090C" w:rsidP="0003090C">
      <w:pPr>
        <w:jc w:val="both"/>
        <w:rPr>
          <w:b/>
        </w:rPr>
      </w:pPr>
    </w:p>
    <w:p w:rsidR="0003090C" w:rsidRPr="005A698F" w:rsidRDefault="0003090C" w:rsidP="0003090C">
      <w:pPr>
        <w:jc w:val="center"/>
        <w:rPr>
          <w:b/>
          <w:sz w:val="32"/>
          <w:szCs w:val="32"/>
        </w:rPr>
      </w:pPr>
      <w:r w:rsidRPr="005A698F">
        <w:rPr>
          <w:b/>
          <w:sz w:val="32"/>
          <w:szCs w:val="32"/>
        </w:rPr>
        <w:t>Projet de loi</w:t>
      </w:r>
    </w:p>
    <w:p w:rsidR="0003090C" w:rsidRPr="005A698F" w:rsidRDefault="0003090C" w:rsidP="0003090C">
      <w:pPr>
        <w:jc w:val="center"/>
        <w:rPr>
          <w:b/>
          <w:sz w:val="32"/>
          <w:szCs w:val="32"/>
        </w:rPr>
      </w:pPr>
    </w:p>
    <w:p w:rsidR="0003090C" w:rsidRPr="005A698F" w:rsidRDefault="0003090C" w:rsidP="0003090C">
      <w:pPr>
        <w:autoSpaceDE w:val="0"/>
        <w:autoSpaceDN w:val="0"/>
        <w:adjustRightInd w:val="0"/>
        <w:ind w:left="426"/>
        <w:jc w:val="both"/>
        <w:rPr>
          <w:b/>
          <w:bCs/>
          <w:sz w:val="28"/>
          <w:szCs w:val="28"/>
          <w:lang w:val="fr-LU" w:bidi="ar-SA"/>
        </w:rPr>
      </w:pPr>
      <w:r w:rsidRPr="005A698F">
        <w:rPr>
          <w:b/>
          <w:bCs/>
          <w:sz w:val="28"/>
          <w:szCs w:val="28"/>
          <w:lang w:val="fr-LU" w:bidi="ar-SA"/>
        </w:rPr>
        <w:t>– portant transposition:</w:t>
      </w:r>
    </w:p>
    <w:p w:rsidR="0003090C" w:rsidRPr="005A698F" w:rsidRDefault="0003090C" w:rsidP="0003090C">
      <w:pPr>
        <w:autoSpaceDE w:val="0"/>
        <w:autoSpaceDN w:val="0"/>
        <w:adjustRightInd w:val="0"/>
        <w:ind w:left="709"/>
        <w:jc w:val="both"/>
        <w:rPr>
          <w:b/>
          <w:bCs/>
          <w:sz w:val="28"/>
          <w:szCs w:val="28"/>
          <w:lang w:val="fr-LU" w:bidi="ar-SA"/>
        </w:rPr>
      </w:pPr>
      <w:r w:rsidRPr="005A698F">
        <w:rPr>
          <w:b/>
          <w:bCs/>
          <w:sz w:val="28"/>
          <w:szCs w:val="28"/>
          <w:lang w:val="fr-LU" w:bidi="ar-SA"/>
        </w:rPr>
        <w:t>– de la directive 2009/110/CE du Parlement européen et du</w:t>
      </w:r>
    </w:p>
    <w:p w:rsidR="0003090C" w:rsidRPr="005A698F" w:rsidRDefault="0003090C" w:rsidP="0003090C">
      <w:pPr>
        <w:autoSpaceDE w:val="0"/>
        <w:autoSpaceDN w:val="0"/>
        <w:adjustRightInd w:val="0"/>
        <w:ind w:left="709"/>
        <w:jc w:val="both"/>
        <w:rPr>
          <w:b/>
          <w:bCs/>
          <w:sz w:val="28"/>
          <w:szCs w:val="28"/>
          <w:lang w:val="fr-LU" w:bidi="ar-SA"/>
        </w:rPr>
      </w:pPr>
      <w:r w:rsidRPr="005A698F">
        <w:rPr>
          <w:b/>
          <w:bCs/>
          <w:sz w:val="28"/>
          <w:szCs w:val="28"/>
          <w:lang w:val="fr-LU" w:bidi="ar-SA"/>
        </w:rPr>
        <w:t>Conseil du 16 septembre 2009 concernant l’accès à l’activité des établissements de monnaie électronique et son exercice ainsi que la surveillance prudentielle de ces établissements, modifiant les directives 2005/60/CE et 2006/48/CE et abrogeant la directive 2000/46/CE;</w:t>
      </w:r>
    </w:p>
    <w:p w:rsidR="0003090C" w:rsidRPr="005A698F" w:rsidRDefault="0003090C" w:rsidP="0003090C">
      <w:pPr>
        <w:autoSpaceDE w:val="0"/>
        <w:autoSpaceDN w:val="0"/>
        <w:adjustRightInd w:val="0"/>
        <w:ind w:left="709"/>
        <w:jc w:val="both"/>
        <w:rPr>
          <w:b/>
          <w:bCs/>
          <w:sz w:val="28"/>
          <w:szCs w:val="28"/>
          <w:lang w:val="fr-LU" w:bidi="ar-SA"/>
        </w:rPr>
      </w:pPr>
      <w:r w:rsidRPr="005A698F">
        <w:rPr>
          <w:b/>
          <w:bCs/>
          <w:sz w:val="28"/>
          <w:szCs w:val="28"/>
          <w:lang w:val="fr-LU" w:bidi="ar-SA"/>
        </w:rPr>
        <w:t>– de la directive 2009/44/CE du Parlement européen et du Conseil du 6 mai 2009 modifiant la directive 98/26/CE concernant le caractère définitif du règlement dans les systèmes de paiement et de règlement des opérations sur titres et la directive 2002/47/CE concernant les contrats de garantie financière, en ce qui concerne les systèmes liés et les créances privées;</w:t>
      </w:r>
    </w:p>
    <w:p w:rsidR="0003090C" w:rsidRPr="005A698F" w:rsidRDefault="0003090C" w:rsidP="0003090C">
      <w:pPr>
        <w:autoSpaceDE w:val="0"/>
        <w:autoSpaceDN w:val="0"/>
        <w:adjustRightInd w:val="0"/>
        <w:ind w:left="426"/>
        <w:jc w:val="both"/>
        <w:rPr>
          <w:b/>
          <w:bCs/>
          <w:sz w:val="28"/>
          <w:szCs w:val="28"/>
          <w:lang w:val="fr-LU" w:bidi="ar-SA"/>
        </w:rPr>
      </w:pPr>
      <w:r w:rsidRPr="005A698F">
        <w:rPr>
          <w:b/>
          <w:bCs/>
          <w:sz w:val="28"/>
          <w:szCs w:val="28"/>
          <w:lang w:val="fr-LU" w:bidi="ar-SA"/>
        </w:rPr>
        <w:t>– portant modification:</w:t>
      </w:r>
    </w:p>
    <w:p w:rsidR="0003090C" w:rsidRPr="005A698F" w:rsidRDefault="0003090C" w:rsidP="0003090C">
      <w:pPr>
        <w:tabs>
          <w:tab w:val="left" w:pos="709"/>
        </w:tabs>
        <w:autoSpaceDE w:val="0"/>
        <w:autoSpaceDN w:val="0"/>
        <w:adjustRightInd w:val="0"/>
        <w:ind w:left="709"/>
        <w:jc w:val="both"/>
        <w:rPr>
          <w:b/>
          <w:bCs/>
          <w:sz w:val="28"/>
          <w:szCs w:val="28"/>
          <w:lang w:val="fr-LU" w:bidi="ar-SA"/>
        </w:rPr>
      </w:pPr>
      <w:r w:rsidRPr="005A698F">
        <w:rPr>
          <w:b/>
          <w:bCs/>
          <w:sz w:val="28"/>
          <w:szCs w:val="28"/>
          <w:lang w:val="fr-LU" w:bidi="ar-SA"/>
        </w:rPr>
        <w:t>– de la loi du 10 novembre 2009 relative aux services de paiement, à l’activité d’établissement de monnaie électronique et au caractère définitif du règlement dans les systèmes de paiement et les systèmes de règlement des opérations sur titres;</w:t>
      </w:r>
    </w:p>
    <w:p w:rsidR="0003090C" w:rsidRPr="005A698F" w:rsidRDefault="0003090C" w:rsidP="0003090C">
      <w:pPr>
        <w:tabs>
          <w:tab w:val="left" w:pos="709"/>
        </w:tabs>
        <w:autoSpaceDE w:val="0"/>
        <w:autoSpaceDN w:val="0"/>
        <w:adjustRightInd w:val="0"/>
        <w:ind w:left="709"/>
        <w:jc w:val="both"/>
        <w:rPr>
          <w:b/>
          <w:bCs/>
          <w:sz w:val="28"/>
          <w:szCs w:val="28"/>
          <w:lang w:val="fr-LU" w:bidi="ar-SA"/>
        </w:rPr>
      </w:pPr>
      <w:r w:rsidRPr="005A698F">
        <w:rPr>
          <w:b/>
          <w:bCs/>
          <w:sz w:val="28"/>
          <w:szCs w:val="28"/>
          <w:lang w:val="fr-LU" w:bidi="ar-SA"/>
        </w:rPr>
        <w:t>– de la loi du 5 août 2005 sur les contrats de garantie financière;</w:t>
      </w:r>
    </w:p>
    <w:p w:rsidR="0003090C" w:rsidRPr="005A698F" w:rsidRDefault="0003090C" w:rsidP="0003090C">
      <w:pPr>
        <w:tabs>
          <w:tab w:val="left" w:pos="709"/>
        </w:tabs>
        <w:autoSpaceDE w:val="0"/>
        <w:autoSpaceDN w:val="0"/>
        <w:adjustRightInd w:val="0"/>
        <w:ind w:left="709"/>
        <w:jc w:val="both"/>
        <w:rPr>
          <w:b/>
          <w:bCs/>
          <w:sz w:val="28"/>
          <w:szCs w:val="28"/>
          <w:lang w:val="fr-LU" w:bidi="ar-SA"/>
        </w:rPr>
      </w:pPr>
      <w:r w:rsidRPr="005A698F">
        <w:rPr>
          <w:b/>
          <w:bCs/>
          <w:sz w:val="28"/>
          <w:szCs w:val="28"/>
          <w:lang w:val="fr-LU" w:bidi="ar-SA"/>
        </w:rPr>
        <w:t>– de la loi modifiée du 12 novembre 2004 relative à la lutte contre le blanchiment et contre le financement du terrorisme;</w:t>
      </w:r>
    </w:p>
    <w:p w:rsidR="0003090C" w:rsidRPr="005A698F" w:rsidRDefault="0003090C" w:rsidP="0003090C">
      <w:pPr>
        <w:tabs>
          <w:tab w:val="left" w:pos="709"/>
        </w:tabs>
        <w:autoSpaceDE w:val="0"/>
        <w:autoSpaceDN w:val="0"/>
        <w:adjustRightInd w:val="0"/>
        <w:ind w:left="709"/>
        <w:jc w:val="both"/>
        <w:rPr>
          <w:b/>
          <w:bCs/>
          <w:sz w:val="28"/>
          <w:szCs w:val="28"/>
          <w:lang w:val="fr-LU" w:bidi="ar-SA"/>
        </w:rPr>
      </w:pPr>
      <w:r w:rsidRPr="005A698F">
        <w:rPr>
          <w:b/>
          <w:bCs/>
          <w:sz w:val="28"/>
          <w:szCs w:val="28"/>
          <w:lang w:val="fr-LU" w:bidi="ar-SA"/>
        </w:rPr>
        <w:t>– de la loi modifiée du 5 avril 1993 relative au secteur financier;</w:t>
      </w:r>
    </w:p>
    <w:p w:rsidR="0003090C" w:rsidRPr="005A698F" w:rsidRDefault="0003090C" w:rsidP="0003090C">
      <w:pPr>
        <w:tabs>
          <w:tab w:val="left" w:pos="709"/>
        </w:tabs>
        <w:autoSpaceDE w:val="0"/>
        <w:autoSpaceDN w:val="0"/>
        <w:adjustRightInd w:val="0"/>
        <w:ind w:left="709"/>
        <w:jc w:val="both"/>
        <w:rPr>
          <w:b/>
          <w:bCs/>
          <w:sz w:val="28"/>
          <w:szCs w:val="28"/>
          <w:lang w:val="fr-LU" w:bidi="ar-SA"/>
        </w:rPr>
      </w:pPr>
      <w:r w:rsidRPr="005A698F">
        <w:rPr>
          <w:b/>
          <w:bCs/>
          <w:sz w:val="28"/>
          <w:szCs w:val="28"/>
          <w:lang w:val="fr-LU" w:bidi="ar-SA"/>
        </w:rPr>
        <w:t>– de la loi modifiée du 23 décembre 1998 portant création d’une commission de surveillance du secteur financier</w:t>
      </w:r>
    </w:p>
    <w:p w:rsidR="00A029E0" w:rsidRPr="005A698F" w:rsidRDefault="00A029E0" w:rsidP="0003090C">
      <w:pPr>
        <w:jc w:val="center"/>
        <w:rPr>
          <w:b/>
        </w:rPr>
      </w:pPr>
    </w:p>
    <w:p w:rsidR="00A029E0" w:rsidRPr="005A698F" w:rsidRDefault="00A029E0" w:rsidP="00A029E0">
      <w:r w:rsidRPr="005A698F">
        <w:t>Le présent projet de loi a pour objet exclusif la transposition en droit luxembourgeois de deux directives communautaires, à savoir</w:t>
      </w:r>
      <w:r w:rsidR="00940271">
        <w:t xml:space="preserve"> </w:t>
      </w:r>
      <w:r w:rsidRPr="005A698F">
        <w:t>:</w:t>
      </w:r>
    </w:p>
    <w:p w:rsidR="0072036F" w:rsidRPr="005A698F" w:rsidRDefault="0072036F" w:rsidP="00A55391">
      <w:pPr>
        <w:numPr>
          <w:ilvl w:val="0"/>
          <w:numId w:val="11"/>
        </w:numPr>
        <w:spacing w:before="100" w:beforeAutospacing="1" w:after="100" w:afterAutospacing="1"/>
        <w:jc w:val="both"/>
        <w:rPr>
          <w:lang w:val="fr-LU" w:eastAsia="fr-LU" w:bidi="ar-SA"/>
        </w:rPr>
      </w:pPr>
      <w:r w:rsidRPr="004F1678">
        <w:rPr>
          <w:u w:val="single"/>
          <w:lang w:val="fr-LU" w:eastAsia="fr-LU" w:bidi="ar-SA"/>
        </w:rPr>
        <w:t>La directive 2009/110/CE</w:t>
      </w:r>
      <w:r w:rsidRPr="005A698F">
        <w:rPr>
          <w:lang w:val="fr-LU" w:eastAsia="fr-LU" w:bidi="ar-SA"/>
        </w:rPr>
        <w:t xml:space="preserve"> </w:t>
      </w:r>
      <w:r w:rsidR="00A55391">
        <w:rPr>
          <w:lang w:val="fr-LU" w:eastAsia="fr-LU" w:bidi="ar-SA"/>
        </w:rPr>
        <w:t>qui porte</w:t>
      </w:r>
      <w:r w:rsidRPr="005A698F">
        <w:rPr>
          <w:lang w:val="fr-LU" w:eastAsia="fr-LU" w:bidi="ar-SA"/>
        </w:rPr>
        <w:t xml:space="preserve"> réforme des règles régissant l’émission de monnaie électronique dans l’Union européenne aux fins de promouvoir l’utilisation de cette monnaie comme substitut aux pièces et billets de banque</w:t>
      </w:r>
      <w:r w:rsidR="00A029E0" w:rsidRPr="005A698F">
        <w:rPr>
          <w:lang w:val="fr-LU" w:eastAsia="fr-LU" w:bidi="ar-SA"/>
        </w:rPr>
        <w:t xml:space="preserve"> </w:t>
      </w:r>
      <w:r w:rsidR="00A029E0" w:rsidRPr="005A698F">
        <w:t>et telles que définies dans la directive 2000/46/CE sur la monnaie électronique</w:t>
      </w:r>
      <w:r w:rsidRPr="005A698F">
        <w:t>.</w:t>
      </w:r>
      <w:r w:rsidR="00A029E0" w:rsidRPr="005A698F">
        <w:rPr>
          <w:bCs/>
        </w:rPr>
        <w:t xml:space="preserve"> L’objectif de la directive de 2000 était de</w:t>
      </w:r>
      <w:r w:rsidR="00A029E0" w:rsidRPr="005A698F">
        <w:t xml:space="preserve"> faciliter l'accès d’établissements autres que les établissements de crédit à l'activité d’émission de monnaie électronique</w:t>
      </w:r>
      <w:r w:rsidR="007B0579">
        <w:t>.</w:t>
      </w:r>
    </w:p>
    <w:p w:rsidR="0072036F" w:rsidRPr="005A698F" w:rsidRDefault="0072036F" w:rsidP="0023162B">
      <w:pPr>
        <w:ind w:left="709"/>
        <w:jc w:val="both"/>
      </w:pPr>
      <w:r w:rsidRPr="005A698F">
        <w:t xml:space="preserve">La directive 2009/110/CE vise à </w:t>
      </w:r>
      <w:r w:rsidR="0023162B">
        <w:t>établir</w:t>
      </w:r>
      <w:r w:rsidRPr="005A698F">
        <w:t xml:space="preserve"> un cadre légal moderne et équilibré </w:t>
      </w:r>
      <w:r w:rsidR="00A9131A" w:rsidRPr="005A698F">
        <w:t xml:space="preserve">pour l’émission de monnaie électronique </w:t>
      </w:r>
      <w:r w:rsidRPr="005A698F">
        <w:t xml:space="preserve">dans le but de promouvoir l'émergence d'un </w:t>
      </w:r>
      <w:r w:rsidRPr="005A698F">
        <w:lastRenderedPageBreak/>
        <w:t>véritable marché unique pour les paiements électroniques dans l'Union européenne, de favoriser la création de nouveaux services de monnaie électronique</w:t>
      </w:r>
      <w:r w:rsidR="00D90CEF" w:rsidRPr="005A698F">
        <w:t xml:space="preserve"> innovants et sûrs</w:t>
      </w:r>
      <w:r w:rsidRPr="005A698F">
        <w:t>, de faciliter l’entrée sur le marché de nouveaux acteurs</w:t>
      </w:r>
      <w:r w:rsidR="00D90CEF" w:rsidRPr="005A698F">
        <w:t>, de promouvoir une concurrence réelle et effective entre tous les acteurs du marché</w:t>
      </w:r>
      <w:r w:rsidRPr="005A698F">
        <w:t xml:space="preserve"> et d’assurer un niveau élevé de protection des consommateurs.</w:t>
      </w:r>
    </w:p>
    <w:p w:rsidR="0072036F" w:rsidRPr="005A698F" w:rsidRDefault="0072036F" w:rsidP="0023162B">
      <w:pPr>
        <w:spacing w:before="100" w:beforeAutospacing="1" w:after="100" w:afterAutospacing="1"/>
        <w:ind w:left="709"/>
        <w:jc w:val="both"/>
        <w:rPr>
          <w:lang w:val="fr-LU" w:eastAsia="fr-LU" w:bidi="ar-SA"/>
        </w:rPr>
      </w:pPr>
      <w:r w:rsidRPr="005A698F">
        <w:rPr>
          <w:lang w:val="fr-LU" w:eastAsia="fr-LU" w:bidi="ar-SA"/>
        </w:rPr>
        <w:t>Les principales nouveautés prévues par la directive 2009/110/CE sont les suivantes:</w:t>
      </w:r>
    </w:p>
    <w:p w:rsidR="00A029E0" w:rsidRPr="0023162B" w:rsidRDefault="0072036F" w:rsidP="0023162B">
      <w:pPr>
        <w:numPr>
          <w:ilvl w:val="1"/>
          <w:numId w:val="12"/>
        </w:numPr>
        <w:jc w:val="both"/>
        <w:rPr>
          <w:lang w:val="fr-LU" w:eastAsia="fr-LU" w:bidi="ar-SA"/>
        </w:rPr>
      </w:pPr>
      <w:r w:rsidRPr="0023162B">
        <w:rPr>
          <w:lang w:val="fr-LU" w:eastAsia="fr-LU" w:bidi="ar-SA"/>
        </w:rPr>
        <w:t>une définition de la monnaie électronique plus simple et neutre d'un point de vue technologique, couvrant toutes les situations dans lesquelles un émetteur de monnaie électronique émet une valeur stocké</w:t>
      </w:r>
      <w:r w:rsidR="0023162B">
        <w:rPr>
          <w:lang w:val="fr-LU" w:eastAsia="fr-LU" w:bidi="ar-SA"/>
        </w:rPr>
        <w:t xml:space="preserve">e prépayée en échange de fonds ; </w:t>
      </w:r>
    </w:p>
    <w:p w:rsidR="0023162B" w:rsidRDefault="0072036F" w:rsidP="0023162B">
      <w:pPr>
        <w:numPr>
          <w:ilvl w:val="1"/>
          <w:numId w:val="12"/>
        </w:numPr>
        <w:spacing w:before="100" w:beforeAutospacing="1" w:after="100" w:afterAutospacing="1"/>
        <w:jc w:val="both"/>
        <w:rPr>
          <w:lang w:val="fr-LU" w:eastAsia="fr-LU" w:bidi="ar-SA"/>
        </w:rPr>
      </w:pPr>
      <w:r w:rsidRPr="0023162B">
        <w:rPr>
          <w:lang w:val="fr-LU" w:eastAsia="fr-LU" w:bidi="ar-SA"/>
        </w:rPr>
        <w:t>un nouveau régime prudentiel, aligné sur le régime applicable aux établissements de paiement en vertu de la directive 2007/64/CE sur les services de paiemen</w:t>
      </w:r>
      <w:r w:rsidR="0023162B" w:rsidRPr="0023162B">
        <w:rPr>
          <w:lang w:val="fr-LU" w:eastAsia="fr-LU" w:bidi="ar-SA"/>
        </w:rPr>
        <w:t>t :</w:t>
      </w:r>
      <w:r w:rsidRPr="0023162B">
        <w:rPr>
          <w:lang w:val="fr-LU" w:eastAsia="fr-LU" w:bidi="ar-SA"/>
        </w:rPr>
        <w:t xml:space="preserve"> Les établissements de monnaie électronique ne disposeront dorénavant plus du statut d’établissement de crédit, mais constituent une catégorie à part d’acteurs financiers. </w:t>
      </w:r>
    </w:p>
    <w:p w:rsidR="0023162B" w:rsidRPr="0023162B" w:rsidRDefault="00F33521" w:rsidP="0023162B">
      <w:pPr>
        <w:numPr>
          <w:ilvl w:val="1"/>
          <w:numId w:val="12"/>
        </w:numPr>
        <w:spacing w:before="100" w:beforeAutospacing="1" w:after="100" w:afterAutospacing="1"/>
        <w:jc w:val="both"/>
        <w:rPr>
          <w:lang w:val="fr-LU" w:eastAsia="fr-LU" w:bidi="ar-SA"/>
        </w:rPr>
      </w:pPr>
      <w:r w:rsidRPr="0023162B">
        <w:rPr>
          <w:lang w:val="fr-LU" w:eastAsia="fr-LU" w:bidi="ar-SA"/>
        </w:rPr>
        <w:t>une clarification des obligations en matière de remboursement d</w:t>
      </w:r>
      <w:r w:rsidR="0023162B">
        <w:rPr>
          <w:lang w:val="fr-LU" w:eastAsia="fr-LU" w:bidi="ar-SA"/>
        </w:rPr>
        <w:t>e la monnaie électronique émise :</w:t>
      </w:r>
      <w:r w:rsidRPr="0023162B">
        <w:rPr>
          <w:lang w:val="fr-LU" w:eastAsia="fr-LU" w:bidi="ar-SA"/>
        </w:rPr>
        <w:t xml:space="preserve"> Les consommateurs peuvent récupérer leur monnaie électronique à tout moment, suivant les conditions et dans les limites établies par les nouvelles règles.</w:t>
      </w:r>
    </w:p>
    <w:p w:rsidR="007D3394" w:rsidRPr="005A698F" w:rsidRDefault="007D3394" w:rsidP="0023162B">
      <w:pPr>
        <w:numPr>
          <w:ilvl w:val="1"/>
          <w:numId w:val="5"/>
        </w:numPr>
        <w:ind w:left="709" w:hanging="425"/>
        <w:jc w:val="both"/>
      </w:pPr>
      <w:r w:rsidRPr="004F1678">
        <w:rPr>
          <w:u w:val="single"/>
        </w:rPr>
        <w:t>La directive 2009/44/CE</w:t>
      </w:r>
      <w:r w:rsidRPr="005A698F">
        <w:t xml:space="preserve"> </w:t>
      </w:r>
      <w:r w:rsidR="0023162B">
        <w:t xml:space="preserve">qui </w:t>
      </w:r>
      <w:r w:rsidRPr="005A698F">
        <w:t>a pour objet d'adapter la directive concernant le caractère définitif du règlement dans les systèmes de paiement et de règlement des opérations sur titres (directive 98/26/CE) et la directive concernant les contrats de garantie financière (directive 2002/47/CE) aux développements récents des marchés financiers. Elle renforce les instruments déjà prévus dans le droit communautaire pour faire face aux turbulences sur les marchés financiers et garantir le bon fonctionnement des systèmes de règlement des opérations sur titres.</w:t>
      </w:r>
    </w:p>
    <w:p w:rsidR="00F76FA3" w:rsidRPr="005A698F" w:rsidRDefault="00F76FA3" w:rsidP="007D3394">
      <w:pPr>
        <w:pStyle w:val="Text1"/>
        <w:spacing w:before="0" w:after="60" w:line="260" w:lineRule="exact"/>
        <w:ind w:left="0"/>
        <w:jc w:val="both"/>
        <w:rPr>
          <w:sz w:val="20"/>
        </w:rPr>
      </w:pPr>
    </w:p>
    <w:p w:rsidR="00F76FA3" w:rsidRPr="005A698F" w:rsidRDefault="00F76FA3" w:rsidP="004F1678">
      <w:pPr>
        <w:ind w:left="709"/>
        <w:jc w:val="both"/>
      </w:pPr>
      <w:r w:rsidRPr="005A698F">
        <w:t xml:space="preserve">Les principales modifications prévues par la directive 2009/44/CE consistent, </w:t>
      </w:r>
      <w:r w:rsidR="004F1678">
        <w:t>en premier lieu</w:t>
      </w:r>
      <w:r w:rsidRPr="005A698F">
        <w:t>, à étendre la protection de la directive 98/26/CE au règlement en période nocturne et au règlement entre systèmes liés.</w:t>
      </w:r>
    </w:p>
    <w:p w:rsidR="007D3394" w:rsidRPr="005A698F" w:rsidRDefault="007D3394" w:rsidP="004F1678">
      <w:pPr>
        <w:ind w:left="709"/>
        <w:jc w:val="both"/>
        <w:rPr>
          <w:lang w:val="fr-LU" w:bidi="ar-SA"/>
        </w:rPr>
      </w:pPr>
    </w:p>
    <w:p w:rsidR="00390292" w:rsidRPr="005A698F" w:rsidRDefault="00390292" w:rsidP="004F1678">
      <w:pPr>
        <w:ind w:left="709"/>
        <w:jc w:val="both"/>
      </w:pPr>
      <w:r w:rsidRPr="005A698F">
        <w:t xml:space="preserve">Une autre innovation prévue par cette directive consiste à étendre le champ d’application de la protection à de nouveaux types d’actifs, en l’occurrence les créances privées admissibles pour la constitution de garanties pour les opérations de crédit des banques centrales. </w:t>
      </w:r>
    </w:p>
    <w:p w:rsidR="00390292" w:rsidRPr="005A698F" w:rsidRDefault="00390292" w:rsidP="004F1678">
      <w:pPr>
        <w:ind w:left="709"/>
        <w:jc w:val="both"/>
      </w:pPr>
    </w:p>
    <w:p w:rsidR="00B048AC" w:rsidRPr="005A698F" w:rsidRDefault="00785233" w:rsidP="004F1678">
      <w:pPr>
        <w:ind w:left="709"/>
        <w:jc w:val="both"/>
      </w:pPr>
      <w:r w:rsidRPr="005A698F">
        <w:t xml:space="preserve">La directive 2009/44/CE vise </w:t>
      </w:r>
      <w:r w:rsidR="00390292" w:rsidRPr="005A698F">
        <w:t xml:space="preserve">également </w:t>
      </w:r>
      <w:r w:rsidRPr="005A698F">
        <w:t xml:space="preserve">à harmoniser le cadre légal applicable afin d’instaurer des conditions de concurrence égales entre les établissements de crédit dans tous les Etats membres et de favoriser l’utilisation transfrontalière des garanties financières en supprimant la plupart des exigences formelles traditionnellement imposées aux contrats de garantie. </w:t>
      </w:r>
    </w:p>
    <w:p w:rsidR="00F273F6" w:rsidRPr="005A698F" w:rsidRDefault="00F273F6" w:rsidP="004F1678">
      <w:pPr>
        <w:ind w:left="709"/>
        <w:jc w:val="both"/>
      </w:pPr>
    </w:p>
    <w:p w:rsidR="00785233" w:rsidRPr="005A698F" w:rsidRDefault="00785233" w:rsidP="004F1678">
      <w:pPr>
        <w:ind w:left="709"/>
        <w:jc w:val="both"/>
      </w:pPr>
      <w:r w:rsidRPr="005A698F">
        <w:t>Enfin, la directive 2009/44/CE vise à simplifier et clarifier un certain nombre d’éléments pour faciliter l’application des directives 98/26/CE et 2002/47/CE.</w:t>
      </w:r>
    </w:p>
    <w:p w:rsidR="00F273F6" w:rsidRPr="005A698F" w:rsidRDefault="00F273F6" w:rsidP="00390292">
      <w:pPr>
        <w:jc w:val="both"/>
      </w:pPr>
    </w:p>
    <w:p w:rsidR="005B5A91" w:rsidRPr="001A2A11" w:rsidRDefault="005B5A91"/>
    <w:sectPr w:rsidR="005B5A91" w:rsidRPr="001A2A11" w:rsidSect="00651F9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1E1F84"/>
    <w:multiLevelType w:val="hybridMultilevel"/>
    <w:tmpl w:val="0C2B8D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421D56"/>
    <w:multiLevelType w:val="hybridMultilevel"/>
    <w:tmpl w:val="6896B200"/>
    <w:lvl w:ilvl="0" w:tplc="5A8E557C">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BD20CE8"/>
    <w:multiLevelType w:val="hybridMultilevel"/>
    <w:tmpl w:val="2B3AA26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F3E330A"/>
    <w:multiLevelType w:val="hybridMultilevel"/>
    <w:tmpl w:val="977E2E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7506B5A"/>
    <w:multiLevelType w:val="hybridMultilevel"/>
    <w:tmpl w:val="87B219C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4B25942"/>
    <w:multiLevelType w:val="multilevel"/>
    <w:tmpl w:val="C8B2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C3042"/>
    <w:multiLevelType w:val="hybridMultilevel"/>
    <w:tmpl w:val="33F22430"/>
    <w:lvl w:ilvl="0" w:tplc="140C0001">
      <w:start w:val="1"/>
      <w:numFmt w:val="bullet"/>
      <w:lvlText w:val=""/>
      <w:lvlJc w:val="left"/>
      <w:pPr>
        <w:ind w:left="644" w:hanging="360"/>
      </w:pPr>
      <w:rPr>
        <w:rFonts w:ascii="Symbol" w:hAnsi="Symbol" w:hint="default"/>
      </w:rPr>
    </w:lvl>
    <w:lvl w:ilvl="1" w:tplc="140C0003" w:tentative="1">
      <w:start w:val="1"/>
      <w:numFmt w:val="bullet"/>
      <w:lvlText w:val="o"/>
      <w:lvlJc w:val="left"/>
      <w:pPr>
        <w:ind w:left="1364" w:hanging="360"/>
      </w:pPr>
      <w:rPr>
        <w:rFonts w:ascii="Courier New" w:hAnsi="Courier New" w:cs="Courier New" w:hint="default"/>
      </w:rPr>
    </w:lvl>
    <w:lvl w:ilvl="2" w:tplc="140C0005" w:tentative="1">
      <w:start w:val="1"/>
      <w:numFmt w:val="bullet"/>
      <w:lvlText w:val=""/>
      <w:lvlJc w:val="left"/>
      <w:pPr>
        <w:ind w:left="2084" w:hanging="360"/>
      </w:pPr>
      <w:rPr>
        <w:rFonts w:ascii="Wingdings" w:hAnsi="Wingdings" w:hint="default"/>
      </w:rPr>
    </w:lvl>
    <w:lvl w:ilvl="3" w:tplc="140C0001" w:tentative="1">
      <w:start w:val="1"/>
      <w:numFmt w:val="bullet"/>
      <w:lvlText w:val=""/>
      <w:lvlJc w:val="left"/>
      <w:pPr>
        <w:ind w:left="2804" w:hanging="360"/>
      </w:pPr>
      <w:rPr>
        <w:rFonts w:ascii="Symbol" w:hAnsi="Symbol" w:hint="default"/>
      </w:rPr>
    </w:lvl>
    <w:lvl w:ilvl="4" w:tplc="140C0003" w:tentative="1">
      <w:start w:val="1"/>
      <w:numFmt w:val="bullet"/>
      <w:lvlText w:val="o"/>
      <w:lvlJc w:val="left"/>
      <w:pPr>
        <w:ind w:left="3524" w:hanging="360"/>
      </w:pPr>
      <w:rPr>
        <w:rFonts w:ascii="Courier New" w:hAnsi="Courier New" w:cs="Courier New" w:hint="default"/>
      </w:rPr>
    </w:lvl>
    <w:lvl w:ilvl="5" w:tplc="140C0005" w:tentative="1">
      <w:start w:val="1"/>
      <w:numFmt w:val="bullet"/>
      <w:lvlText w:val=""/>
      <w:lvlJc w:val="left"/>
      <w:pPr>
        <w:ind w:left="4244" w:hanging="360"/>
      </w:pPr>
      <w:rPr>
        <w:rFonts w:ascii="Wingdings" w:hAnsi="Wingdings" w:hint="default"/>
      </w:rPr>
    </w:lvl>
    <w:lvl w:ilvl="6" w:tplc="140C0001" w:tentative="1">
      <w:start w:val="1"/>
      <w:numFmt w:val="bullet"/>
      <w:lvlText w:val=""/>
      <w:lvlJc w:val="left"/>
      <w:pPr>
        <w:ind w:left="4964" w:hanging="360"/>
      </w:pPr>
      <w:rPr>
        <w:rFonts w:ascii="Symbol" w:hAnsi="Symbol" w:hint="default"/>
      </w:rPr>
    </w:lvl>
    <w:lvl w:ilvl="7" w:tplc="140C0003" w:tentative="1">
      <w:start w:val="1"/>
      <w:numFmt w:val="bullet"/>
      <w:lvlText w:val="o"/>
      <w:lvlJc w:val="left"/>
      <w:pPr>
        <w:ind w:left="5684" w:hanging="360"/>
      </w:pPr>
      <w:rPr>
        <w:rFonts w:ascii="Courier New" w:hAnsi="Courier New" w:cs="Courier New" w:hint="default"/>
      </w:rPr>
    </w:lvl>
    <w:lvl w:ilvl="8" w:tplc="140C0005" w:tentative="1">
      <w:start w:val="1"/>
      <w:numFmt w:val="bullet"/>
      <w:lvlText w:val=""/>
      <w:lvlJc w:val="left"/>
      <w:pPr>
        <w:ind w:left="6404" w:hanging="360"/>
      </w:pPr>
      <w:rPr>
        <w:rFonts w:ascii="Wingdings" w:hAnsi="Wingdings" w:hint="default"/>
      </w:rPr>
    </w:lvl>
  </w:abstractNum>
  <w:abstractNum w:abstractNumId="7" w15:restartNumberingAfterBreak="0">
    <w:nsid w:val="3CA4103A"/>
    <w:multiLevelType w:val="hybridMultilevel"/>
    <w:tmpl w:val="CAF0DF04"/>
    <w:lvl w:ilvl="0" w:tplc="140C0001">
      <w:start w:val="1"/>
      <w:numFmt w:val="bullet"/>
      <w:lvlText w:val=""/>
      <w:lvlJc w:val="left"/>
      <w:pPr>
        <w:ind w:left="720" w:hanging="360"/>
      </w:pPr>
      <w:rPr>
        <w:rFonts w:ascii="Symbol" w:hAnsi="Symbol" w:hint="default"/>
      </w:rPr>
    </w:lvl>
    <w:lvl w:ilvl="1" w:tplc="140C0001">
      <w:start w:val="1"/>
      <w:numFmt w:val="bullet"/>
      <w:lvlText w:val=""/>
      <w:lvlJc w:val="left"/>
      <w:pPr>
        <w:ind w:left="1440" w:hanging="360"/>
      </w:pPr>
      <w:rPr>
        <w:rFonts w:ascii="Symbol" w:hAnsi="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42A5734A"/>
    <w:multiLevelType w:val="hybridMultilevel"/>
    <w:tmpl w:val="496E4F94"/>
    <w:lvl w:ilvl="0" w:tplc="5A8E557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156F7"/>
    <w:multiLevelType w:val="hybridMultilevel"/>
    <w:tmpl w:val="0A56038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84B2933"/>
    <w:multiLevelType w:val="hybridMultilevel"/>
    <w:tmpl w:val="211A36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7A7C47AA"/>
    <w:multiLevelType w:val="hybridMultilevel"/>
    <w:tmpl w:val="36F8588A"/>
    <w:lvl w:ilvl="0" w:tplc="140C0001">
      <w:start w:val="1"/>
      <w:numFmt w:val="bullet"/>
      <w:lvlText w:val=""/>
      <w:lvlJc w:val="left"/>
      <w:pPr>
        <w:ind w:left="720" w:hanging="360"/>
      </w:pPr>
      <w:rPr>
        <w:rFonts w:ascii="Symbol" w:hAnsi="Symbol" w:hint="default"/>
      </w:rPr>
    </w:lvl>
    <w:lvl w:ilvl="1" w:tplc="70A28C4A">
      <w:start w:val="13"/>
      <w:numFmt w:val="bullet"/>
      <w:lvlText w:val="-"/>
      <w:lvlJc w:val="left"/>
      <w:pPr>
        <w:ind w:left="1440" w:hanging="360"/>
      </w:pPr>
      <w:rPr>
        <w:rFonts w:ascii="Arial" w:eastAsia="Times New Roman"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2"/>
  </w:num>
  <w:num w:numId="5">
    <w:abstractNumId w:val="7"/>
  </w:num>
  <w:num w:numId="6">
    <w:abstractNumId w:val="8"/>
  </w:num>
  <w:num w:numId="7">
    <w:abstractNumId w:val="1"/>
  </w:num>
  <w:num w:numId="8">
    <w:abstractNumId w:val="9"/>
  </w:num>
  <w:num w:numId="9">
    <w:abstractNumId w:val="0"/>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90C"/>
    <w:rsid w:val="0003090C"/>
    <w:rsid w:val="000534ED"/>
    <w:rsid w:val="000A5692"/>
    <w:rsid w:val="000D71B6"/>
    <w:rsid w:val="00100537"/>
    <w:rsid w:val="00117266"/>
    <w:rsid w:val="0013069A"/>
    <w:rsid w:val="00166CA6"/>
    <w:rsid w:val="00182180"/>
    <w:rsid w:val="001A2A11"/>
    <w:rsid w:val="001D60E3"/>
    <w:rsid w:val="00210966"/>
    <w:rsid w:val="0023162B"/>
    <w:rsid w:val="002362B5"/>
    <w:rsid w:val="0024758C"/>
    <w:rsid w:val="00256DF1"/>
    <w:rsid w:val="002579D5"/>
    <w:rsid w:val="002870D5"/>
    <w:rsid w:val="00292C46"/>
    <w:rsid w:val="002B4472"/>
    <w:rsid w:val="002E21DD"/>
    <w:rsid w:val="00344B46"/>
    <w:rsid w:val="003549E1"/>
    <w:rsid w:val="00390292"/>
    <w:rsid w:val="003E31DD"/>
    <w:rsid w:val="003F20AC"/>
    <w:rsid w:val="00410BF0"/>
    <w:rsid w:val="004204DA"/>
    <w:rsid w:val="0043325F"/>
    <w:rsid w:val="0043544C"/>
    <w:rsid w:val="00456B67"/>
    <w:rsid w:val="00483488"/>
    <w:rsid w:val="004E05E6"/>
    <w:rsid w:val="004F1678"/>
    <w:rsid w:val="005556E4"/>
    <w:rsid w:val="005A698F"/>
    <w:rsid w:val="005B5A91"/>
    <w:rsid w:val="00604C71"/>
    <w:rsid w:val="00606960"/>
    <w:rsid w:val="006112FB"/>
    <w:rsid w:val="00622924"/>
    <w:rsid w:val="00641799"/>
    <w:rsid w:val="00651F9A"/>
    <w:rsid w:val="00652F48"/>
    <w:rsid w:val="00667178"/>
    <w:rsid w:val="006C6C0B"/>
    <w:rsid w:val="006E5379"/>
    <w:rsid w:val="0072036F"/>
    <w:rsid w:val="00744CCF"/>
    <w:rsid w:val="00760E97"/>
    <w:rsid w:val="00785233"/>
    <w:rsid w:val="007B0579"/>
    <w:rsid w:val="007D3394"/>
    <w:rsid w:val="007F7803"/>
    <w:rsid w:val="008E1B09"/>
    <w:rsid w:val="008E33C9"/>
    <w:rsid w:val="00940271"/>
    <w:rsid w:val="00962BF6"/>
    <w:rsid w:val="00971CE6"/>
    <w:rsid w:val="0097442E"/>
    <w:rsid w:val="00980852"/>
    <w:rsid w:val="009C7CCA"/>
    <w:rsid w:val="009D0937"/>
    <w:rsid w:val="009E0BA7"/>
    <w:rsid w:val="00A029E0"/>
    <w:rsid w:val="00A03294"/>
    <w:rsid w:val="00A04516"/>
    <w:rsid w:val="00A23723"/>
    <w:rsid w:val="00A55391"/>
    <w:rsid w:val="00A62110"/>
    <w:rsid w:val="00A70501"/>
    <w:rsid w:val="00A9131A"/>
    <w:rsid w:val="00AA0AFC"/>
    <w:rsid w:val="00AC2D87"/>
    <w:rsid w:val="00AD4C64"/>
    <w:rsid w:val="00B048AC"/>
    <w:rsid w:val="00B20DDE"/>
    <w:rsid w:val="00BA56D4"/>
    <w:rsid w:val="00BB3997"/>
    <w:rsid w:val="00BF5F06"/>
    <w:rsid w:val="00C4663F"/>
    <w:rsid w:val="00C549C3"/>
    <w:rsid w:val="00C82945"/>
    <w:rsid w:val="00CA7B32"/>
    <w:rsid w:val="00D04E02"/>
    <w:rsid w:val="00D42A9D"/>
    <w:rsid w:val="00D8533A"/>
    <w:rsid w:val="00D90CEF"/>
    <w:rsid w:val="00DD6E3B"/>
    <w:rsid w:val="00DD7690"/>
    <w:rsid w:val="00DE2443"/>
    <w:rsid w:val="00DE5E5E"/>
    <w:rsid w:val="00DE7E8C"/>
    <w:rsid w:val="00DF1CC6"/>
    <w:rsid w:val="00E5490A"/>
    <w:rsid w:val="00E66F6A"/>
    <w:rsid w:val="00EA058A"/>
    <w:rsid w:val="00EF3C31"/>
    <w:rsid w:val="00F01F1C"/>
    <w:rsid w:val="00F141E8"/>
    <w:rsid w:val="00F273F6"/>
    <w:rsid w:val="00F33521"/>
    <w:rsid w:val="00F565F8"/>
    <w:rsid w:val="00F76FA3"/>
    <w:rsid w:val="00F83F07"/>
    <w:rsid w:val="00F947DE"/>
    <w:rsid w:val="00FA700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C42E1D-5CB3-4DC3-B729-9BBD006C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C"/>
    <w:rPr>
      <w:sz w:val="24"/>
      <w:szCs w:val="24"/>
      <w:lang w:val="fr-FR" w:eastAsia="en-US" w:bidi="en-US"/>
    </w:rPr>
  </w:style>
  <w:style w:type="paragraph" w:styleId="Titre1">
    <w:name w:val="heading 1"/>
    <w:basedOn w:val="Normal"/>
    <w:next w:val="Normal"/>
    <w:link w:val="Titre1Car"/>
    <w:uiPriority w:val="9"/>
    <w:qFormat/>
    <w:rsid w:val="00117266"/>
    <w:pPr>
      <w:keepNext/>
      <w:spacing w:before="240" w:after="60"/>
      <w:outlineLvl w:val="0"/>
    </w:pPr>
    <w:rPr>
      <w:b/>
      <w:bCs/>
      <w:kern w:val="32"/>
      <w:sz w:val="32"/>
      <w:szCs w:val="32"/>
    </w:rPr>
  </w:style>
  <w:style w:type="paragraph" w:styleId="Titre2">
    <w:name w:val="heading 2"/>
    <w:basedOn w:val="Normal"/>
    <w:next w:val="Normal"/>
    <w:link w:val="Titre2Car"/>
    <w:uiPriority w:val="9"/>
    <w:semiHidden/>
    <w:unhideWhenUsed/>
    <w:qFormat/>
    <w:rsid w:val="00117266"/>
    <w:pPr>
      <w:keepNext/>
      <w:spacing w:before="240" w:after="60"/>
      <w:outlineLvl w:val="1"/>
    </w:pPr>
    <w:rPr>
      <w:b/>
      <w:bCs/>
      <w:i/>
      <w:iCs/>
      <w:sz w:val="28"/>
      <w:szCs w:val="28"/>
    </w:rPr>
  </w:style>
  <w:style w:type="paragraph" w:styleId="Titre3">
    <w:name w:val="heading 3"/>
    <w:basedOn w:val="Normal"/>
    <w:next w:val="Normal"/>
    <w:link w:val="Titre3Car"/>
    <w:uiPriority w:val="9"/>
    <w:semiHidden/>
    <w:unhideWhenUsed/>
    <w:qFormat/>
    <w:rsid w:val="00117266"/>
    <w:pPr>
      <w:keepNext/>
      <w:spacing w:before="240" w:after="60"/>
      <w:outlineLvl w:val="2"/>
    </w:pPr>
    <w:rPr>
      <w:b/>
      <w:bCs/>
      <w:sz w:val="26"/>
      <w:szCs w:val="26"/>
    </w:rPr>
  </w:style>
  <w:style w:type="paragraph" w:styleId="Titre4">
    <w:name w:val="heading 4"/>
    <w:basedOn w:val="Normal"/>
    <w:next w:val="Normal"/>
    <w:link w:val="Titre4Car"/>
    <w:uiPriority w:val="9"/>
    <w:semiHidden/>
    <w:unhideWhenUsed/>
    <w:qFormat/>
    <w:rsid w:val="00117266"/>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117266"/>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117266"/>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17266"/>
    <w:pPr>
      <w:spacing w:before="240" w:after="60"/>
      <w:outlineLvl w:val="6"/>
    </w:pPr>
  </w:style>
  <w:style w:type="paragraph" w:styleId="Titre8">
    <w:name w:val="heading 8"/>
    <w:basedOn w:val="Normal"/>
    <w:next w:val="Normal"/>
    <w:link w:val="Titre8Car"/>
    <w:uiPriority w:val="9"/>
    <w:semiHidden/>
    <w:unhideWhenUsed/>
    <w:qFormat/>
    <w:rsid w:val="00117266"/>
    <w:pPr>
      <w:spacing w:before="240" w:after="60"/>
      <w:outlineLvl w:val="7"/>
    </w:pPr>
    <w:rPr>
      <w:i/>
      <w:iCs/>
    </w:rPr>
  </w:style>
  <w:style w:type="paragraph" w:styleId="Titre9">
    <w:name w:val="heading 9"/>
    <w:basedOn w:val="Normal"/>
    <w:next w:val="Normal"/>
    <w:link w:val="Titre9Car"/>
    <w:uiPriority w:val="9"/>
    <w:semiHidden/>
    <w:unhideWhenUsed/>
    <w:qFormat/>
    <w:rsid w:val="00117266"/>
    <w:pPr>
      <w:spacing w:before="240" w:after="60"/>
      <w:outlineLvl w:val="8"/>
    </w:pPr>
    <w:rPr>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266"/>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117266"/>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117266"/>
    <w:rPr>
      <w:rFonts w:ascii="Times New Roman" w:eastAsia="Times New Roman" w:hAnsi="Times New Roman"/>
      <w:b/>
      <w:bCs/>
      <w:sz w:val="26"/>
      <w:szCs w:val="26"/>
    </w:rPr>
  </w:style>
  <w:style w:type="character" w:customStyle="1" w:styleId="Titre4Car">
    <w:name w:val="Titre 4 Car"/>
    <w:basedOn w:val="Policepardfaut"/>
    <w:link w:val="Titre4"/>
    <w:uiPriority w:val="9"/>
    <w:rsid w:val="00117266"/>
    <w:rPr>
      <w:b/>
      <w:bCs/>
      <w:sz w:val="28"/>
      <w:szCs w:val="28"/>
    </w:rPr>
  </w:style>
  <w:style w:type="character" w:customStyle="1" w:styleId="Titre5Car">
    <w:name w:val="Titre 5 Car"/>
    <w:basedOn w:val="Policepardfaut"/>
    <w:link w:val="Titre5"/>
    <w:uiPriority w:val="9"/>
    <w:semiHidden/>
    <w:rsid w:val="00117266"/>
    <w:rPr>
      <w:b/>
      <w:bCs/>
      <w:i/>
      <w:iCs/>
      <w:sz w:val="26"/>
      <w:szCs w:val="26"/>
    </w:rPr>
  </w:style>
  <w:style w:type="character" w:customStyle="1" w:styleId="Titre6Car">
    <w:name w:val="Titre 6 Car"/>
    <w:basedOn w:val="Policepardfaut"/>
    <w:link w:val="Titre6"/>
    <w:uiPriority w:val="9"/>
    <w:semiHidden/>
    <w:rsid w:val="00117266"/>
    <w:rPr>
      <w:b/>
      <w:bCs/>
    </w:rPr>
  </w:style>
  <w:style w:type="character" w:customStyle="1" w:styleId="Titre7Car">
    <w:name w:val="Titre 7 Car"/>
    <w:basedOn w:val="Policepardfaut"/>
    <w:link w:val="Titre7"/>
    <w:uiPriority w:val="9"/>
    <w:semiHidden/>
    <w:rsid w:val="00117266"/>
    <w:rPr>
      <w:sz w:val="24"/>
      <w:szCs w:val="24"/>
    </w:rPr>
  </w:style>
  <w:style w:type="character" w:customStyle="1" w:styleId="Titre8Car">
    <w:name w:val="Titre 8 Car"/>
    <w:basedOn w:val="Policepardfaut"/>
    <w:link w:val="Titre8"/>
    <w:uiPriority w:val="9"/>
    <w:semiHidden/>
    <w:rsid w:val="00117266"/>
    <w:rPr>
      <w:i/>
      <w:iCs/>
      <w:sz w:val="24"/>
      <w:szCs w:val="24"/>
    </w:rPr>
  </w:style>
  <w:style w:type="character" w:customStyle="1" w:styleId="Titre9Car">
    <w:name w:val="Titre 9 Car"/>
    <w:basedOn w:val="Policepardfaut"/>
    <w:link w:val="Titre9"/>
    <w:uiPriority w:val="9"/>
    <w:semiHidden/>
    <w:rsid w:val="00117266"/>
    <w:rPr>
      <w:rFonts w:ascii="Times New Roman" w:eastAsia="Times New Roman" w:hAnsi="Times New Roman"/>
    </w:rPr>
  </w:style>
  <w:style w:type="paragraph" w:styleId="Titre">
    <w:name w:val="Title"/>
    <w:basedOn w:val="Normal"/>
    <w:next w:val="Normal"/>
    <w:link w:val="TitreCar"/>
    <w:uiPriority w:val="10"/>
    <w:qFormat/>
    <w:rsid w:val="00117266"/>
    <w:pPr>
      <w:spacing w:before="240" w:after="60"/>
      <w:jc w:val="center"/>
      <w:outlineLvl w:val="0"/>
    </w:pPr>
    <w:rPr>
      <w:b/>
      <w:bCs/>
      <w:kern w:val="28"/>
      <w:sz w:val="32"/>
      <w:szCs w:val="32"/>
    </w:rPr>
  </w:style>
  <w:style w:type="character" w:customStyle="1" w:styleId="TitreCar">
    <w:name w:val="Titre Car"/>
    <w:basedOn w:val="Policepardfaut"/>
    <w:link w:val="Titre"/>
    <w:uiPriority w:val="10"/>
    <w:rsid w:val="00117266"/>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117266"/>
    <w:pPr>
      <w:spacing w:after="60"/>
      <w:jc w:val="center"/>
      <w:outlineLvl w:val="1"/>
    </w:pPr>
  </w:style>
  <w:style w:type="character" w:customStyle="1" w:styleId="Sous-titreCar">
    <w:name w:val="Sous-titre Car"/>
    <w:basedOn w:val="Policepardfaut"/>
    <w:link w:val="Sous-titre"/>
    <w:uiPriority w:val="11"/>
    <w:rsid w:val="00117266"/>
    <w:rPr>
      <w:rFonts w:ascii="Times New Roman" w:eastAsia="Times New Roman" w:hAnsi="Times New Roman"/>
      <w:sz w:val="24"/>
      <w:szCs w:val="24"/>
    </w:rPr>
  </w:style>
  <w:style w:type="character" w:styleId="lev">
    <w:name w:val="Strong"/>
    <w:basedOn w:val="Policepardfaut"/>
    <w:uiPriority w:val="22"/>
    <w:qFormat/>
    <w:rsid w:val="00117266"/>
    <w:rPr>
      <w:b/>
      <w:bCs/>
    </w:rPr>
  </w:style>
  <w:style w:type="character" w:styleId="Accentuation">
    <w:name w:val="Emphasis"/>
    <w:basedOn w:val="Policepardfaut"/>
    <w:uiPriority w:val="20"/>
    <w:qFormat/>
    <w:rsid w:val="00117266"/>
    <w:rPr>
      <w:rFonts w:ascii="Times New Roman" w:hAnsi="Times New Roman"/>
      <w:b/>
      <w:i/>
      <w:iCs/>
    </w:rPr>
  </w:style>
  <w:style w:type="paragraph" w:styleId="Sansinterligne">
    <w:name w:val="No Spacing"/>
    <w:basedOn w:val="Normal"/>
    <w:uiPriority w:val="1"/>
    <w:qFormat/>
    <w:rsid w:val="00117266"/>
    <w:rPr>
      <w:szCs w:val="32"/>
    </w:rPr>
  </w:style>
  <w:style w:type="paragraph" w:styleId="Paragraphedeliste">
    <w:name w:val="List Paragraph"/>
    <w:basedOn w:val="Normal"/>
    <w:uiPriority w:val="34"/>
    <w:qFormat/>
    <w:rsid w:val="00117266"/>
    <w:pPr>
      <w:ind w:left="720"/>
      <w:contextualSpacing/>
    </w:pPr>
  </w:style>
  <w:style w:type="paragraph" w:styleId="Citation">
    <w:name w:val="Quote"/>
    <w:basedOn w:val="Normal"/>
    <w:next w:val="Normal"/>
    <w:link w:val="CitationCar"/>
    <w:uiPriority w:val="29"/>
    <w:qFormat/>
    <w:rsid w:val="00117266"/>
    <w:rPr>
      <w:i/>
    </w:rPr>
  </w:style>
  <w:style w:type="character" w:customStyle="1" w:styleId="CitationCar">
    <w:name w:val="Citation Car"/>
    <w:basedOn w:val="Policepardfaut"/>
    <w:link w:val="Citation"/>
    <w:uiPriority w:val="29"/>
    <w:rsid w:val="00117266"/>
    <w:rPr>
      <w:i/>
      <w:sz w:val="24"/>
      <w:szCs w:val="24"/>
    </w:rPr>
  </w:style>
  <w:style w:type="paragraph" w:styleId="Citationintense">
    <w:name w:val="Intense Quote"/>
    <w:basedOn w:val="Normal"/>
    <w:next w:val="Normal"/>
    <w:link w:val="CitationintenseCar"/>
    <w:uiPriority w:val="30"/>
    <w:qFormat/>
    <w:rsid w:val="00117266"/>
    <w:pPr>
      <w:ind w:left="720" w:right="720"/>
    </w:pPr>
    <w:rPr>
      <w:b/>
      <w:i/>
      <w:szCs w:val="22"/>
    </w:rPr>
  </w:style>
  <w:style w:type="character" w:customStyle="1" w:styleId="CitationintenseCar">
    <w:name w:val="Citation intense Car"/>
    <w:basedOn w:val="Policepardfaut"/>
    <w:link w:val="Citationintense"/>
    <w:uiPriority w:val="30"/>
    <w:rsid w:val="00117266"/>
    <w:rPr>
      <w:b/>
      <w:i/>
      <w:sz w:val="24"/>
    </w:rPr>
  </w:style>
  <w:style w:type="character" w:styleId="Emphaseple">
    <w:name w:val="Subtle Emphasis"/>
    <w:uiPriority w:val="19"/>
    <w:qFormat/>
    <w:rsid w:val="00117266"/>
    <w:rPr>
      <w:i/>
      <w:color w:val="5A5A5A"/>
    </w:rPr>
  </w:style>
  <w:style w:type="character" w:styleId="Emphaseintense">
    <w:name w:val="Intense Emphasis"/>
    <w:basedOn w:val="Policepardfaut"/>
    <w:uiPriority w:val="21"/>
    <w:qFormat/>
    <w:rsid w:val="00117266"/>
    <w:rPr>
      <w:b/>
      <w:i/>
      <w:sz w:val="24"/>
      <w:szCs w:val="24"/>
      <w:u w:val="single"/>
    </w:rPr>
  </w:style>
  <w:style w:type="character" w:styleId="Rfrenceple">
    <w:name w:val="Subtle Reference"/>
    <w:basedOn w:val="Policepardfaut"/>
    <w:uiPriority w:val="31"/>
    <w:qFormat/>
    <w:rsid w:val="00117266"/>
    <w:rPr>
      <w:sz w:val="24"/>
      <w:szCs w:val="24"/>
      <w:u w:val="single"/>
    </w:rPr>
  </w:style>
  <w:style w:type="character" w:styleId="Rfrenceintense">
    <w:name w:val="Intense Reference"/>
    <w:basedOn w:val="Policepardfaut"/>
    <w:uiPriority w:val="32"/>
    <w:qFormat/>
    <w:rsid w:val="00117266"/>
    <w:rPr>
      <w:b/>
      <w:sz w:val="24"/>
      <w:u w:val="single"/>
    </w:rPr>
  </w:style>
  <w:style w:type="character" w:styleId="Titredulivre">
    <w:name w:val="Book Title"/>
    <w:basedOn w:val="Policepardfaut"/>
    <w:uiPriority w:val="33"/>
    <w:qFormat/>
    <w:rsid w:val="00117266"/>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117266"/>
    <w:pPr>
      <w:outlineLvl w:val="9"/>
    </w:pPr>
  </w:style>
  <w:style w:type="paragraph" w:styleId="Textebrut">
    <w:name w:val="Plain Text"/>
    <w:basedOn w:val="Normal"/>
    <w:link w:val="TextebrutCar"/>
    <w:rsid w:val="0003090C"/>
    <w:pPr>
      <w:jc w:val="both"/>
    </w:pPr>
    <w:rPr>
      <w:rFonts w:ascii="Courier New" w:hAnsi="Courier New"/>
      <w:sz w:val="20"/>
      <w:szCs w:val="20"/>
    </w:rPr>
  </w:style>
  <w:style w:type="character" w:customStyle="1" w:styleId="TextebrutCar">
    <w:name w:val="Texte brut Car"/>
    <w:basedOn w:val="Policepardfaut"/>
    <w:link w:val="Textebrut"/>
    <w:rsid w:val="0003090C"/>
    <w:rPr>
      <w:rFonts w:ascii="Courier New" w:eastAsia="Times New Roman" w:hAnsi="Courier New"/>
      <w:sz w:val="20"/>
      <w:szCs w:val="20"/>
      <w:lang w:val="fr-FR"/>
    </w:rPr>
  </w:style>
  <w:style w:type="paragraph" w:styleId="NormalWeb">
    <w:name w:val="Normal (Web)"/>
    <w:basedOn w:val="Normal"/>
    <w:unhideWhenUsed/>
    <w:rsid w:val="0072036F"/>
    <w:pPr>
      <w:spacing w:before="100" w:beforeAutospacing="1" w:after="100" w:afterAutospacing="1"/>
    </w:pPr>
    <w:rPr>
      <w:lang w:val="fr-LU" w:eastAsia="fr-LU" w:bidi="ar-SA"/>
    </w:rPr>
  </w:style>
  <w:style w:type="paragraph" w:customStyle="1" w:styleId="Default">
    <w:name w:val="Default"/>
    <w:rsid w:val="00DF1CC6"/>
    <w:pPr>
      <w:autoSpaceDE w:val="0"/>
      <w:autoSpaceDN w:val="0"/>
      <w:adjustRightInd w:val="0"/>
    </w:pPr>
    <w:rPr>
      <w:color w:val="000000"/>
      <w:sz w:val="24"/>
      <w:szCs w:val="24"/>
    </w:rPr>
  </w:style>
  <w:style w:type="paragraph" w:customStyle="1" w:styleId="Text1">
    <w:name w:val="Text 1"/>
    <w:basedOn w:val="Normal"/>
    <w:link w:val="Text1Char"/>
    <w:rsid w:val="007D3394"/>
    <w:pPr>
      <w:spacing w:before="120" w:after="120" w:line="360" w:lineRule="auto"/>
      <w:ind w:left="850"/>
    </w:pPr>
    <w:rPr>
      <w:rFonts w:eastAsia="Calibri"/>
      <w:szCs w:val="20"/>
      <w:lang w:bidi="ar-SA"/>
    </w:rPr>
  </w:style>
  <w:style w:type="character" w:customStyle="1" w:styleId="Text1Char">
    <w:name w:val="Text 1 Char"/>
    <w:link w:val="Text1"/>
    <w:locked/>
    <w:rsid w:val="007D3394"/>
    <w:rPr>
      <w:rFonts w:eastAsia="Calibri"/>
      <w:sz w:val="24"/>
      <w:lang w:val="fr-FR" w:eastAsia="en-US"/>
    </w:rPr>
  </w:style>
  <w:style w:type="paragraph" w:customStyle="1" w:styleId="5Normal">
    <w:name w:val="5 Normal"/>
    <w:rsid w:val="007D339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napToGrid w:val="0"/>
      <w:spacing w:val="-2"/>
      <w:sz w:val="22"/>
      <w:lang w:val="en-GB" w:eastAsia="en-GB"/>
    </w:rPr>
  </w:style>
  <w:style w:type="paragraph" w:customStyle="1" w:styleId="ManualConsidrant">
    <w:name w:val="Manual Considérant"/>
    <w:basedOn w:val="Normal"/>
    <w:rsid w:val="00E66F6A"/>
    <w:pPr>
      <w:spacing w:before="120" w:after="120" w:line="360" w:lineRule="auto"/>
      <w:ind w:left="850" w:hanging="850"/>
    </w:pPr>
    <w:rPr>
      <w:rFonts w:eastAsia="Calibri"/>
      <w:szCs w:val="20"/>
      <w:lang w:bidi="ar-SA"/>
    </w:rPr>
  </w:style>
  <w:style w:type="paragraph" w:styleId="Notedebasdepage">
    <w:name w:val="footnote text"/>
    <w:basedOn w:val="Normal"/>
    <w:link w:val="NotedebasdepageCar"/>
    <w:autoRedefine/>
    <w:semiHidden/>
    <w:rsid w:val="00E66F6A"/>
    <w:pPr>
      <w:spacing w:after="60" w:line="260" w:lineRule="exact"/>
      <w:jc w:val="both"/>
    </w:pPr>
    <w:rPr>
      <w:rFonts w:ascii="Gill Sans MT" w:eastAsia="Calibri" w:hAnsi="Gill Sans MT"/>
      <w:sz w:val="20"/>
      <w:szCs w:val="20"/>
      <w:lang w:bidi="ar-SA"/>
    </w:rPr>
  </w:style>
  <w:style w:type="character" w:customStyle="1" w:styleId="NotedebasdepageCar">
    <w:name w:val="Note de bas de page Car"/>
    <w:basedOn w:val="Policepardfaut"/>
    <w:link w:val="Notedebasdepage"/>
    <w:semiHidden/>
    <w:rsid w:val="00E66F6A"/>
    <w:rPr>
      <w:rFonts w:ascii="Gill Sans MT" w:eastAsia="Calibri" w:hAnsi="Gill Sans MT"/>
      <w:lang w:val="fr-FR" w:eastAsia="en-US"/>
    </w:rPr>
  </w:style>
  <w:style w:type="paragraph" w:customStyle="1" w:styleId="PointDouble1">
    <w:name w:val="PointDouble 1"/>
    <w:basedOn w:val="Normal"/>
    <w:rsid w:val="00E66F6A"/>
    <w:pPr>
      <w:tabs>
        <w:tab w:val="left" w:pos="1417"/>
      </w:tabs>
      <w:spacing w:before="120" w:after="120" w:line="360" w:lineRule="auto"/>
      <w:ind w:left="1984" w:hanging="1134"/>
    </w:pPr>
    <w:rPr>
      <w:rFonts w:eastAsia="Calibri"/>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4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D88BDAE-E603-47C0-A495-D0D1461F154F}"/>
</file>

<file path=customXml/itemProps2.xml><?xml version="1.0" encoding="utf-8"?>
<ds:datastoreItem xmlns:ds="http://schemas.openxmlformats.org/officeDocument/2006/customXml" ds:itemID="{63F6E593-2DF8-4DA3-99A6-481D25FCA256}"/>
</file>

<file path=customXml/itemProps3.xml><?xml version="1.0" encoding="utf-8"?>
<ds:datastoreItem xmlns:ds="http://schemas.openxmlformats.org/officeDocument/2006/customXml" ds:itemID="{F57301B3-5B12-4715-B3D5-6CC5803E440C}"/>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4282</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