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47" w:rsidRPr="00E27621" w:rsidRDefault="00F26947" w:rsidP="00E27621">
      <w:pPr>
        <w:autoSpaceDE w:val="0"/>
        <w:autoSpaceDN w:val="0"/>
        <w:adjustRightInd w:val="0"/>
        <w:jc w:val="both"/>
      </w:pPr>
      <w:bookmarkStart w:id="0" w:name="_GoBack"/>
      <w:bookmarkEnd w:id="0"/>
      <w:r w:rsidRPr="00E27621">
        <w:rPr>
          <w:b/>
        </w:rPr>
        <w:t xml:space="preserve">N° </w:t>
      </w:r>
      <w:r w:rsidR="008F11B6" w:rsidRPr="00E27621">
        <w:rPr>
          <w:b/>
        </w:rPr>
        <w:t>6</w:t>
      </w:r>
      <w:r w:rsidR="00C74CFB" w:rsidRPr="00E27621">
        <w:rPr>
          <w:b/>
        </w:rPr>
        <w:t>153</w:t>
      </w:r>
      <w:r w:rsidRPr="00E27621">
        <w:rPr>
          <w:b/>
        </w:rPr>
        <w:t xml:space="preserve"> </w:t>
      </w:r>
      <w:r w:rsidRPr="00E27621">
        <w:rPr>
          <w:b/>
          <w:bCs/>
        </w:rPr>
        <w:t>Projet de loi portant règlement du compte général de l’exercice 200</w:t>
      </w:r>
      <w:r w:rsidR="00C74CFB" w:rsidRPr="00E27621">
        <w:rPr>
          <w:b/>
          <w:bCs/>
        </w:rPr>
        <w:t>9</w:t>
      </w:r>
      <w:r w:rsidRPr="00E27621">
        <w:rPr>
          <w:b/>
          <w:bCs/>
        </w:rPr>
        <w:t xml:space="preserve"> </w:t>
      </w:r>
    </w:p>
    <w:p w:rsidR="00F94815" w:rsidRDefault="00F94815" w:rsidP="00F94815">
      <w:pPr>
        <w:autoSpaceDE w:val="0"/>
        <w:autoSpaceDN w:val="0"/>
        <w:adjustRightInd w:val="0"/>
        <w:jc w:val="both"/>
        <w:rPr>
          <w:color w:val="C00000"/>
          <w:lang w:val="fr-LU" w:eastAsia="fr-LU"/>
        </w:rPr>
      </w:pPr>
    </w:p>
    <w:p w:rsidR="00EF257C" w:rsidRPr="00EF257C" w:rsidRDefault="00EF257C" w:rsidP="00EF257C">
      <w:pPr>
        <w:autoSpaceDE w:val="0"/>
        <w:autoSpaceDN w:val="0"/>
        <w:adjustRightInd w:val="0"/>
        <w:jc w:val="both"/>
        <w:rPr>
          <w:color w:val="FF3399"/>
        </w:rPr>
      </w:pPr>
    </w:p>
    <w:p w:rsidR="00EF257C" w:rsidRPr="00BE4F8B" w:rsidRDefault="00EF257C" w:rsidP="00EF257C">
      <w:pPr>
        <w:autoSpaceDE w:val="0"/>
        <w:autoSpaceDN w:val="0"/>
        <w:adjustRightInd w:val="0"/>
        <w:jc w:val="both"/>
      </w:pPr>
      <w:r w:rsidRPr="00BE4F8B">
        <w:t>Par rapport au budget définitif de l'exercice 200</w:t>
      </w:r>
      <w:r w:rsidR="00137909">
        <w:t>9</w:t>
      </w:r>
      <w:r w:rsidRPr="00BE4F8B">
        <w:t xml:space="preserve">, les </w:t>
      </w:r>
      <w:r w:rsidRPr="00BE4F8B">
        <w:rPr>
          <w:b/>
          <w:u w:val="single"/>
        </w:rPr>
        <w:t>variations</w:t>
      </w:r>
      <w:r w:rsidRPr="00E27621">
        <w:t xml:space="preserve"> </w:t>
      </w:r>
      <w:r w:rsidRPr="00BE4F8B">
        <w:t xml:space="preserve">sont les suivantes : </w:t>
      </w:r>
    </w:p>
    <w:p w:rsidR="00C60CD3" w:rsidRPr="00EF257C" w:rsidRDefault="00C60CD3" w:rsidP="00C60CD3">
      <w:pPr>
        <w:autoSpaceDE w:val="0"/>
        <w:autoSpaceDN w:val="0"/>
        <w:adjustRightInd w:val="0"/>
        <w:jc w:val="both"/>
        <w:rPr>
          <w:color w:val="FF3399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70"/>
        <w:gridCol w:w="1815"/>
        <w:gridCol w:w="1843"/>
        <w:gridCol w:w="1842"/>
        <w:gridCol w:w="1134"/>
      </w:tblGrid>
      <w:tr w:rsidR="0073149F" w:rsidRPr="00597D0E" w:rsidTr="0073149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088" w:type="dxa"/>
            <w:vMerge w:val="restart"/>
          </w:tcPr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:rsidR="0073149F" w:rsidRPr="00597D0E" w:rsidRDefault="0073149F" w:rsidP="00B14A0D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Budget définitif</w:t>
            </w:r>
          </w:p>
          <w:p w:rsidR="0073149F" w:rsidRPr="00597D0E" w:rsidRDefault="0073149F" w:rsidP="00137909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200</w:t>
            </w:r>
            <w:r w:rsidR="00137909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</w:tcPr>
          <w:p w:rsidR="0073149F" w:rsidRPr="00597D0E" w:rsidRDefault="0073149F" w:rsidP="00B14A0D">
            <w:pPr>
              <w:tabs>
                <w:tab w:val="left" w:pos="1800"/>
              </w:tabs>
              <w:ind w:left="-41" w:firstLine="49"/>
              <w:rPr>
                <w:rFonts w:ascii="Arial" w:hAnsi="Arial"/>
                <w:sz w:val="18"/>
                <w:szCs w:val="18"/>
              </w:rPr>
            </w:pPr>
          </w:p>
          <w:p w:rsidR="0073149F" w:rsidRPr="00597D0E" w:rsidRDefault="0073149F" w:rsidP="00B14A0D">
            <w:pPr>
              <w:tabs>
                <w:tab w:val="left" w:pos="1800"/>
              </w:tabs>
              <w:ind w:left="-41" w:firstLine="49"/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Compte général</w:t>
            </w:r>
          </w:p>
          <w:p w:rsidR="0073149F" w:rsidRPr="00597D0E" w:rsidRDefault="0073149F" w:rsidP="00137909">
            <w:pPr>
              <w:tabs>
                <w:tab w:val="left" w:pos="1800"/>
              </w:tabs>
              <w:ind w:left="-41" w:firstLine="49"/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200</w:t>
            </w:r>
            <w:r w:rsidR="00137909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 xml:space="preserve">              </w:t>
            </w:r>
          </w:p>
          <w:p w:rsidR="0073149F" w:rsidRPr="00597D0E" w:rsidRDefault="0073149F" w:rsidP="00B14A0D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Variations</w:t>
            </w:r>
          </w:p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3149F" w:rsidRPr="00597D0E" w:rsidTr="0073149F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088" w:type="dxa"/>
            <w:vMerge/>
            <w:tcBorders>
              <w:bottom w:val="nil"/>
            </w:tcBorders>
          </w:tcPr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3149F" w:rsidRPr="00597D0E" w:rsidRDefault="0073149F" w:rsidP="00B14A0D">
            <w:pPr>
              <w:tabs>
                <w:tab w:val="left" w:pos="1800"/>
              </w:tabs>
              <w:ind w:left="-41" w:firstLine="49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149F" w:rsidRPr="00597D0E" w:rsidRDefault="0073149F" w:rsidP="00B14A0D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en valeur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149F" w:rsidRPr="00597D0E" w:rsidRDefault="0073149F" w:rsidP="00B14A0D">
            <w:pPr>
              <w:tabs>
                <w:tab w:val="left" w:pos="1800"/>
              </w:tabs>
              <w:ind w:left="14"/>
              <w:jc w:val="center"/>
              <w:rPr>
                <w:rFonts w:ascii="Arial" w:hAnsi="Arial"/>
                <w:sz w:val="18"/>
                <w:szCs w:val="18"/>
              </w:rPr>
            </w:pPr>
            <w:r w:rsidRPr="00597D0E">
              <w:rPr>
                <w:rFonts w:ascii="Arial" w:hAnsi="Arial"/>
                <w:sz w:val="18"/>
                <w:szCs w:val="18"/>
              </w:rPr>
              <w:t>en %</w:t>
            </w:r>
          </w:p>
        </w:tc>
      </w:tr>
      <w:tr w:rsidR="0073149F" w:rsidRPr="00137909" w:rsidTr="0073149F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2088" w:type="dxa"/>
            <w:vAlign w:val="center"/>
          </w:tcPr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>Recettes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>- courantes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137909" w:rsidRDefault="0073149F" w:rsidP="00B14A0D">
            <w:pPr>
              <w:tabs>
                <w:tab w:val="left" w:pos="1800"/>
              </w:tabs>
              <w:rPr>
                <w:rFonts w:ascii="Arial" w:hAnsi="Arial"/>
                <w:color w:val="C00000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>- en capital</w:t>
            </w:r>
          </w:p>
        </w:tc>
        <w:tc>
          <w:tcPr>
            <w:tcW w:w="1985" w:type="dxa"/>
            <w:gridSpan w:val="2"/>
            <w:vAlign w:val="center"/>
          </w:tcPr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F16EC2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>9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Pr="00AF3226">
              <w:rPr>
                <w:rFonts w:ascii="Arial" w:hAnsi="Arial"/>
                <w:sz w:val="18"/>
                <w:szCs w:val="18"/>
              </w:rPr>
              <w:t>188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Pr="00AF3226">
              <w:rPr>
                <w:rFonts w:ascii="Arial" w:hAnsi="Arial"/>
                <w:sz w:val="18"/>
                <w:szCs w:val="18"/>
              </w:rPr>
              <w:t>710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Pr="00AF3226">
              <w:rPr>
                <w:rFonts w:ascii="Arial" w:hAnsi="Arial"/>
                <w:sz w:val="18"/>
                <w:szCs w:val="18"/>
              </w:rPr>
              <w:t>886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,00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 xml:space="preserve">     </w:t>
            </w:r>
            <w:r w:rsidR="00FA3EAC" w:rsidRPr="00AF3226">
              <w:rPr>
                <w:rFonts w:ascii="Arial" w:hAnsi="Arial"/>
                <w:sz w:val="18"/>
                <w:szCs w:val="18"/>
              </w:rPr>
              <w:t xml:space="preserve"> </w:t>
            </w:r>
            <w:r w:rsidRPr="00AF3226">
              <w:rPr>
                <w:rFonts w:ascii="Arial" w:hAnsi="Arial"/>
                <w:sz w:val="18"/>
                <w:szCs w:val="18"/>
              </w:rPr>
              <w:t>8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8</w:t>
            </w:r>
            <w:r w:rsidRPr="00AF3226">
              <w:rPr>
                <w:rFonts w:ascii="Arial" w:hAnsi="Arial"/>
                <w:sz w:val="18"/>
                <w:szCs w:val="18"/>
              </w:rPr>
              <w:t>.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231</w:t>
            </w:r>
            <w:r w:rsidRPr="00AF3226">
              <w:rPr>
                <w:rFonts w:ascii="Arial" w:hAnsi="Arial"/>
                <w:sz w:val="18"/>
                <w:szCs w:val="18"/>
              </w:rPr>
              <w:t>.1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6</w:t>
            </w:r>
            <w:r w:rsidRPr="00AF3226">
              <w:rPr>
                <w:rFonts w:ascii="Arial" w:hAnsi="Arial"/>
                <w:sz w:val="18"/>
                <w:szCs w:val="18"/>
              </w:rPr>
              <w:t>0,00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FA3EAC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 xml:space="preserve"> </w:t>
            </w:r>
            <w:r w:rsidR="00315A57">
              <w:rPr>
                <w:rFonts w:ascii="Arial" w:hAnsi="Arial"/>
                <w:sz w:val="18"/>
                <w:szCs w:val="18"/>
              </w:rPr>
              <w:t>8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812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832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404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78</w:t>
            </w:r>
            <w:r w:rsidR="0073149F" w:rsidRPr="00AF3226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B117D3" w:rsidP="00F16EC2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 xml:space="preserve"> </w:t>
            </w:r>
            <w:r w:rsidR="00F16EC2" w:rsidRPr="00AF3226">
              <w:rPr>
                <w:rFonts w:ascii="Arial" w:hAnsi="Arial"/>
                <w:sz w:val="18"/>
                <w:szCs w:val="18"/>
              </w:rPr>
              <w:t xml:space="preserve">     86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023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297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</w:t>
            </w:r>
            <w:r w:rsidR="00F16EC2" w:rsidRPr="00AF3226">
              <w:rPr>
                <w:rFonts w:ascii="Arial" w:hAnsi="Arial"/>
                <w:sz w:val="18"/>
                <w:szCs w:val="18"/>
              </w:rPr>
              <w:t>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8948BA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 xml:space="preserve">   </w:t>
            </w:r>
            <w:r w:rsidR="00AF3226" w:rsidRPr="00AF3226">
              <w:rPr>
                <w:rFonts w:ascii="Arial" w:hAnsi="Arial"/>
                <w:sz w:val="18"/>
                <w:szCs w:val="18"/>
              </w:rPr>
              <w:t>-375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AF3226" w:rsidRPr="00AF3226">
              <w:rPr>
                <w:rFonts w:ascii="Arial" w:hAnsi="Arial"/>
                <w:sz w:val="18"/>
                <w:szCs w:val="18"/>
              </w:rPr>
              <w:t>878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="00AF3226" w:rsidRPr="00AF3226">
              <w:rPr>
                <w:rFonts w:ascii="Arial" w:hAnsi="Arial"/>
                <w:sz w:val="18"/>
                <w:szCs w:val="18"/>
              </w:rPr>
              <w:t>481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</w:t>
            </w:r>
            <w:r w:rsidR="00AF3226" w:rsidRPr="00AF3226">
              <w:rPr>
                <w:rFonts w:ascii="Arial" w:hAnsi="Arial"/>
                <w:sz w:val="18"/>
                <w:szCs w:val="18"/>
              </w:rPr>
              <w:t>22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AF3226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 xml:space="preserve">       -</w:t>
            </w:r>
            <w:r w:rsidR="008948BA" w:rsidRPr="00AF3226">
              <w:rPr>
                <w:rFonts w:ascii="Arial" w:hAnsi="Arial"/>
                <w:sz w:val="18"/>
                <w:szCs w:val="18"/>
              </w:rPr>
              <w:t>2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Pr="00AF3226">
              <w:rPr>
                <w:rFonts w:ascii="Arial" w:hAnsi="Arial"/>
                <w:sz w:val="18"/>
                <w:szCs w:val="18"/>
              </w:rPr>
              <w:t>207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.</w:t>
            </w:r>
            <w:r w:rsidRPr="00AF3226">
              <w:rPr>
                <w:rFonts w:ascii="Arial" w:hAnsi="Arial"/>
                <w:sz w:val="18"/>
                <w:szCs w:val="18"/>
              </w:rPr>
              <w:t>862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</w:t>
            </w:r>
            <w:r w:rsidRPr="00AF3226">
              <w:rPr>
                <w:rFonts w:ascii="Arial" w:hAnsi="Arial"/>
                <w:sz w:val="18"/>
                <w:szCs w:val="18"/>
              </w:rPr>
              <w:t>32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AF3226" w:rsidP="00B14A0D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>-</w:t>
            </w:r>
            <w:r w:rsidR="0073149F" w:rsidRPr="00AF3226">
              <w:rPr>
                <w:rFonts w:ascii="Arial" w:hAnsi="Arial"/>
                <w:sz w:val="18"/>
                <w:szCs w:val="18"/>
              </w:rPr>
              <w:t xml:space="preserve"> </w:t>
            </w:r>
            <w:r w:rsidRPr="00AF3226">
              <w:rPr>
                <w:rFonts w:ascii="Arial" w:hAnsi="Arial"/>
                <w:sz w:val="18"/>
                <w:szCs w:val="18"/>
              </w:rPr>
              <w:t>4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</w:t>
            </w:r>
            <w:r w:rsidRPr="00AF3226">
              <w:rPr>
                <w:rFonts w:ascii="Arial" w:hAnsi="Arial"/>
                <w:sz w:val="18"/>
                <w:szCs w:val="18"/>
              </w:rPr>
              <w:t>09</w:t>
            </w:r>
          </w:p>
          <w:p w:rsidR="0073149F" w:rsidRPr="00AF3226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AF3226" w:rsidRDefault="00AF3226" w:rsidP="00AF3226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AF3226">
              <w:rPr>
                <w:rFonts w:ascii="Arial" w:hAnsi="Arial"/>
                <w:sz w:val="18"/>
                <w:szCs w:val="18"/>
              </w:rPr>
              <w:t>-</w:t>
            </w:r>
            <w:r w:rsidR="0073149F" w:rsidRPr="00AF3226">
              <w:rPr>
                <w:rFonts w:ascii="Arial" w:hAnsi="Arial"/>
                <w:sz w:val="18"/>
                <w:szCs w:val="18"/>
              </w:rPr>
              <w:t xml:space="preserve"> </w:t>
            </w:r>
            <w:r w:rsidRPr="00AF3226">
              <w:rPr>
                <w:rFonts w:ascii="Arial" w:hAnsi="Arial"/>
                <w:sz w:val="18"/>
                <w:szCs w:val="18"/>
              </w:rPr>
              <w:t>2</w:t>
            </w:r>
            <w:r w:rsidR="0073149F" w:rsidRPr="00AF3226">
              <w:rPr>
                <w:rFonts w:ascii="Arial" w:hAnsi="Arial"/>
                <w:sz w:val="18"/>
                <w:szCs w:val="18"/>
              </w:rPr>
              <w:t>,</w:t>
            </w:r>
            <w:r w:rsidRPr="00AF3226">
              <w:rPr>
                <w:rFonts w:ascii="Arial" w:hAnsi="Arial"/>
                <w:sz w:val="18"/>
                <w:szCs w:val="18"/>
              </w:rPr>
              <w:t>50</w:t>
            </w:r>
          </w:p>
        </w:tc>
      </w:tr>
      <w:tr w:rsidR="0073149F" w:rsidRPr="0008744E" w:rsidTr="0073149F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088" w:type="dxa"/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Total recettes (1)</w:t>
            </w:r>
          </w:p>
        </w:tc>
        <w:tc>
          <w:tcPr>
            <w:tcW w:w="1985" w:type="dxa"/>
            <w:gridSpan w:val="2"/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08744E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9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276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942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046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 xml:space="preserve">,00   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149F" w:rsidRPr="0008744E" w:rsidRDefault="0008744E" w:rsidP="0008744E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898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855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702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Pr="0008744E">
              <w:rPr>
                <w:rFonts w:ascii="Arial" w:hAnsi="Arial"/>
                <w:sz w:val="18"/>
                <w:szCs w:val="18"/>
              </w:rPr>
              <w:t>46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149F" w:rsidRPr="0008744E" w:rsidRDefault="008948BA" w:rsidP="0008744E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</w:t>
            </w:r>
            <w:r w:rsidR="00FA3EAC" w:rsidRPr="0008744E">
              <w:rPr>
                <w:rFonts w:ascii="Arial" w:hAnsi="Arial"/>
                <w:sz w:val="18"/>
                <w:szCs w:val="18"/>
              </w:rPr>
              <w:t xml:space="preserve"> 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-</w:t>
            </w:r>
            <w:r w:rsidRPr="0008744E">
              <w:rPr>
                <w:rFonts w:ascii="Arial" w:hAnsi="Arial"/>
                <w:sz w:val="18"/>
                <w:szCs w:val="18"/>
              </w:rPr>
              <w:t>3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78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086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343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Pr="0008744E">
              <w:rPr>
                <w:rFonts w:ascii="Arial" w:hAnsi="Arial"/>
                <w:sz w:val="18"/>
                <w:szCs w:val="18"/>
              </w:rPr>
              <w:t>5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149F" w:rsidRPr="0008744E" w:rsidRDefault="0008744E" w:rsidP="0008744E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-</w:t>
            </w:r>
            <w:r w:rsidR="0073149F" w:rsidRPr="0008744E">
              <w:rPr>
                <w:rFonts w:ascii="Arial" w:hAnsi="Arial"/>
                <w:sz w:val="18"/>
                <w:szCs w:val="18"/>
              </w:rPr>
              <w:t xml:space="preserve"> </w:t>
            </w:r>
            <w:r w:rsidRPr="0008744E">
              <w:rPr>
                <w:rFonts w:ascii="Arial" w:hAnsi="Arial"/>
                <w:sz w:val="18"/>
                <w:szCs w:val="18"/>
              </w:rPr>
              <w:t>4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Pr="0008744E">
              <w:rPr>
                <w:rFonts w:ascii="Arial" w:hAnsi="Arial"/>
                <w:sz w:val="18"/>
                <w:szCs w:val="18"/>
              </w:rPr>
              <w:t>08</w:t>
            </w:r>
          </w:p>
        </w:tc>
      </w:tr>
      <w:tr w:rsidR="0073149F" w:rsidRPr="0008744E" w:rsidTr="0073149F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Dépenses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- courantes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- en capital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08744E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327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136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341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,00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 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944</w:t>
            </w:r>
            <w:r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140</w:t>
            </w:r>
            <w:r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152</w:t>
            </w:r>
            <w:r w:rsidRPr="0008744E">
              <w:rPr>
                <w:rFonts w:ascii="Arial" w:hAnsi="Arial"/>
                <w:sz w:val="18"/>
                <w:szCs w:val="18"/>
              </w:rPr>
              <w:t>,00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FA3EAC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</w:t>
            </w:r>
            <w:r w:rsidR="00B117D3" w:rsidRPr="0008744E">
              <w:rPr>
                <w:rFonts w:ascii="Arial" w:hAnsi="Arial"/>
                <w:sz w:val="18"/>
                <w:szCs w:val="18"/>
              </w:rPr>
              <w:t>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566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B117D3" w:rsidRPr="0008744E">
              <w:rPr>
                <w:rFonts w:ascii="Arial" w:hAnsi="Arial"/>
                <w:sz w:val="18"/>
                <w:szCs w:val="18"/>
              </w:rPr>
              <w:t>0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9</w:t>
            </w:r>
            <w:r w:rsidR="00B117D3" w:rsidRPr="0008744E">
              <w:rPr>
                <w:rFonts w:ascii="Arial" w:hAnsi="Arial"/>
                <w:sz w:val="18"/>
                <w:szCs w:val="18"/>
              </w:rPr>
              <w:t>2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093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35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B117D3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1</w:t>
            </w:r>
            <w:r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118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231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774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28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8948BA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  2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38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955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752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35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57686D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174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091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622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28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+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2</w:t>
            </w:r>
            <w:r w:rsidRPr="0008744E">
              <w:rPr>
                <w:rFonts w:ascii="Arial" w:hAnsi="Arial"/>
                <w:sz w:val="18"/>
                <w:szCs w:val="18"/>
              </w:rPr>
              <w:t>,</w:t>
            </w:r>
            <w:r w:rsidR="00670EB9" w:rsidRPr="0008744E">
              <w:rPr>
                <w:rFonts w:ascii="Arial" w:hAnsi="Arial"/>
                <w:sz w:val="18"/>
                <w:szCs w:val="18"/>
              </w:rPr>
              <w:t>8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7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  <w:p w:rsidR="0073149F" w:rsidRPr="0008744E" w:rsidRDefault="0073149F" w:rsidP="00B14A0D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+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18</w:t>
            </w:r>
            <w:r w:rsidRPr="0008744E">
              <w:rPr>
                <w:rFonts w:ascii="Arial" w:hAnsi="Arial"/>
                <w:sz w:val="18"/>
                <w:szCs w:val="18"/>
              </w:rPr>
              <w:t>,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44</w:t>
            </w:r>
          </w:p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3149F" w:rsidRPr="0008744E" w:rsidTr="0073149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Total dépenses (2)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73149F" w:rsidRPr="0008744E" w:rsidRDefault="0008744E" w:rsidP="0008744E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9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271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276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493</w:t>
            </w:r>
            <w:r w:rsidR="0073149F" w:rsidRPr="0008744E">
              <w:rPr>
                <w:rFonts w:ascii="Arial" w:hAnsi="Arial"/>
                <w:sz w:val="18"/>
                <w:szCs w:val="18"/>
              </w:rPr>
              <w:t xml:space="preserve">,00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149F" w:rsidRPr="0008744E" w:rsidRDefault="0008744E" w:rsidP="0008744E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>9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684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323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.</w:t>
            </w:r>
            <w:r w:rsidRPr="0008744E">
              <w:rPr>
                <w:rFonts w:ascii="Arial" w:hAnsi="Arial"/>
                <w:sz w:val="18"/>
                <w:szCs w:val="18"/>
              </w:rPr>
              <w:t>867</w:t>
            </w:r>
            <w:r w:rsidR="0073149F" w:rsidRPr="0008744E">
              <w:rPr>
                <w:rFonts w:ascii="Arial" w:hAnsi="Arial"/>
                <w:sz w:val="18"/>
                <w:szCs w:val="18"/>
              </w:rPr>
              <w:t>,</w:t>
            </w:r>
            <w:r w:rsidRPr="0008744E">
              <w:rPr>
                <w:rFonts w:ascii="Arial" w:hAnsi="Arial"/>
                <w:sz w:val="18"/>
                <w:szCs w:val="18"/>
              </w:rPr>
              <w:t>63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08744E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413</w:t>
            </w:r>
            <w:r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047</w:t>
            </w:r>
            <w:r w:rsidRPr="0008744E">
              <w:rPr>
                <w:rFonts w:ascii="Arial" w:hAnsi="Arial"/>
                <w:sz w:val="18"/>
                <w:szCs w:val="18"/>
              </w:rPr>
              <w:t>.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374</w:t>
            </w:r>
            <w:r w:rsidRPr="0008744E">
              <w:rPr>
                <w:rFonts w:ascii="Arial" w:hAnsi="Arial"/>
                <w:sz w:val="18"/>
                <w:szCs w:val="18"/>
              </w:rPr>
              <w:t>,</w:t>
            </w:r>
            <w:r w:rsidR="008948BA" w:rsidRPr="0008744E">
              <w:rPr>
                <w:rFonts w:ascii="Arial" w:hAnsi="Arial"/>
                <w:sz w:val="18"/>
                <w:szCs w:val="18"/>
              </w:rPr>
              <w:t>6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149F" w:rsidRPr="0008744E" w:rsidRDefault="0073149F" w:rsidP="0008744E">
            <w:pPr>
              <w:tabs>
                <w:tab w:val="left" w:pos="18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08744E">
              <w:rPr>
                <w:rFonts w:ascii="Arial" w:hAnsi="Arial"/>
                <w:sz w:val="18"/>
                <w:szCs w:val="18"/>
              </w:rPr>
              <w:t xml:space="preserve">+ 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4</w:t>
            </w:r>
            <w:r w:rsidRPr="0008744E">
              <w:rPr>
                <w:rFonts w:ascii="Arial" w:hAnsi="Arial"/>
                <w:sz w:val="18"/>
                <w:szCs w:val="18"/>
              </w:rPr>
              <w:t>,</w:t>
            </w:r>
            <w:r w:rsidR="0008744E" w:rsidRPr="0008744E">
              <w:rPr>
                <w:rFonts w:ascii="Arial" w:hAnsi="Arial"/>
                <w:sz w:val="18"/>
                <w:szCs w:val="18"/>
              </w:rPr>
              <w:t>46</w:t>
            </w:r>
          </w:p>
        </w:tc>
      </w:tr>
      <w:tr w:rsidR="0073149F" w:rsidRPr="0071462E" w:rsidTr="0073149F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2088" w:type="dxa"/>
          </w:tcPr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1462E">
              <w:rPr>
                <w:rFonts w:ascii="Arial" w:hAnsi="Arial"/>
                <w:b/>
                <w:sz w:val="18"/>
                <w:szCs w:val="18"/>
              </w:rPr>
              <w:t>Excédent</w:t>
            </w: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1462E">
              <w:rPr>
                <w:rFonts w:ascii="Arial" w:hAnsi="Arial"/>
                <w:b/>
                <w:sz w:val="18"/>
                <w:szCs w:val="18"/>
              </w:rPr>
              <w:t>de recettes</w:t>
            </w:r>
          </w:p>
          <w:p w:rsidR="0073149F" w:rsidRPr="0071462E" w:rsidRDefault="0073149F" w:rsidP="0073149F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1462E">
              <w:rPr>
                <w:rFonts w:ascii="Arial" w:hAnsi="Arial"/>
                <w:b/>
                <w:sz w:val="18"/>
                <w:szCs w:val="18"/>
              </w:rPr>
              <w:t>(1)-(2)</w:t>
            </w:r>
          </w:p>
        </w:tc>
        <w:tc>
          <w:tcPr>
            <w:tcW w:w="1985" w:type="dxa"/>
            <w:gridSpan w:val="2"/>
          </w:tcPr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71462E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1462E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D51A04" w:rsidRPr="0071462E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5.665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.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553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1462E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D51A04" w:rsidRPr="007146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-785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.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468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.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165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,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17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 xml:space="preserve">        </w:t>
            </w: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7146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D51A04" w:rsidRPr="007146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-791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.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133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.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718</w:t>
            </w:r>
            <w:r w:rsidRPr="0071462E">
              <w:rPr>
                <w:rFonts w:ascii="Arial" w:hAnsi="Arial"/>
                <w:b/>
                <w:sz w:val="18"/>
                <w:szCs w:val="18"/>
              </w:rPr>
              <w:t>,</w:t>
            </w:r>
            <w:r w:rsidR="0071462E" w:rsidRPr="0071462E">
              <w:rPr>
                <w:rFonts w:ascii="Arial" w:hAnsi="Arial"/>
                <w:b/>
                <w:sz w:val="18"/>
                <w:szCs w:val="18"/>
              </w:rPr>
              <w:t>17</w:t>
            </w: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73149F" w:rsidRPr="0071462E" w:rsidRDefault="0073149F" w:rsidP="00B14A0D">
            <w:pPr>
              <w:tabs>
                <w:tab w:val="left" w:pos="1800"/>
              </w:tabs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3149F" w:rsidRPr="00597D0E" w:rsidTr="0073149F">
        <w:tblPrEx>
          <w:tblCellMar>
            <w:top w:w="0" w:type="dxa"/>
            <w:bottom w:w="0" w:type="dxa"/>
          </w:tblCellMar>
        </w:tblPrEx>
        <w:trPr>
          <w:gridAfter w:val="4"/>
          <w:wAfter w:w="6634" w:type="dxa"/>
          <w:cantSplit/>
          <w:trHeight w:val="299"/>
        </w:trPr>
        <w:tc>
          <w:tcPr>
            <w:tcW w:w="2258" w:type="dxa"/>
            <w:gridSpan w:val="2"/>
            <w:tcBorders>
              <w:left w:val="nil"/>
              <w:bottom w:val="nil"/>
              <w:right w:val="nil"/>
            </w:tcBorders>
          </w:tcPr>
          <w:p w:rsidR="0073149F" w:rsidRPr="00597D0E" w:rsidRDefault="0073149F" w:rsidP="00B14A0D">
            <w:pPr>
              <w:tabs>
                <w:tab w:val="left" w:pos="180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60CD3" w:rsidRDefault="00C60CD3" w:rsidP="00EF257C">
      <w:pPr>
        <w:autoSpaceDE w:val="0"/>
        <w:autoSpaceDN w:val="0"/>
        <w:adjustRightInd w:val="0"/>
        <w:jc w:val="both"/>
        <w:rPr>
          <w:color w:val="FF3399"/>
        </w:rPr>
      </w:pPr>
    </w:p>
    <w:p w:rsidR="0075061C" w:rsidRDefault="00315A57" w:rsidP="0075061C">
      <w:pPr>
        <w:autoSpaceDE w:val="0"/>
        <w:autoSpaceDN w:val="0"/>
        <w:adjustRightInd w:val="0"/>
        <w:jc w:val="both"/>
      </w:pPr>
      <w:r w:rsidRPr="009354E7">
        <w:t>L</w:t>
      </w:r>
      <w:r w:rsidR="009354E7" w:rsidRPr="009354E7">
        <w:t>’article 2 du</w:t>
      </w:r>
      <w:r w:rsidRPr="009354E7">
        <w:t xml:space="preserve"> projet de loi 6153 portant règlement du compte général de l'exercice 2009 </w:t>
      </w:r>
      <w:r w:rsidR="009354E7" w:rsidRPr="009354E7">
        <w:t>prévoit que les résultats des comptes généraux 2006, 2007 et 2008 au montant total de 770 millions d’euros soi</w:t>
      </w:r>
      <w:r w:rsidR="009354E7">
        <w:t>en</w:t>
      </w:r>
      <w:r w:rsidR="009354E7" w:rsidRPr="009354E7">
        <w:t>t affecté</w:t>
      </w:r>
      <w:r w:rsidR="009354E7">
        <w:t>s</w:t>
      </w:r>
      <w:r w:rsidR="009354E7" w:rsidRPr="009354E7">
        <w:t xml:space="preserve"> à l’alimentation de certains fonds spéciaux. </w:t>
      </w:r>
    </w:p>
    <w:p w:rsidR="00E27621" w:rsidRPr="0075061C" w:rsidRDefault="00E27621" w:rsidP="0075061C">
      <w:pPr>
        <w:autoSpaceDE w:val="0"/>
        <w:autoSpaceDN w:val="0"/>
        <w:adjustRightInd w:val="0"/>
        <w:jc w:val="both"/>
      </w:pPr>
    </w:p>
    <w:p w:rsidR="00EF257C" w:rsidRPr="002E6EE1" w:rsidRDefault="00EF257C" w:rsidP="00EF257C">
      <w:pPr>
        <w:autoSpaceDE w:val="0"/>
        <w:autoSpaceDN w:val="0"/>
        <w:adjustRightInd w:val="0"/>
        <w:jc w:val="both"/>
      </w:pPr>
      <w:r w:rsidRPr="002E6EE1">
        <w:t xml:space="preserve">Les </w:t>
      </w:r>
      <w:r w:rsidRPr="00AC1774">
        <w:rPr>
          <w:u w:val="single"/>
        </w:rPr>
        <w:t>dépenses courantes et en capital</w:t>
      </w:r>
      <w:r w:rsidRPr="002E6EE1">
        <w:t xml:space="preserve"> effectives </w:t>
      </w:r>
      <w:r w:rsidRPr="002E6EE1">
        <w:rPr>
          <w:u w:val="single"/>
        </w:rPr>
        <w:t xml:space="preserve">dépassent de </w:t>
      </w:r>
      <w:r w:rsidR="004F71B8">
        <w:rPr>
          <w:u w:val="single"/>
        </w:rPr>
        <w:t>4</w:t>
      </w:r>
      <w:r w:rsidRPr="002E6EE1">
        <w:rPr>
          <w:u w:val="single"/>
        </w:rPr>
        <w:t>,</w:t>
      </w:r>
      <w:r w:rsidR="004F71B8">
        <w:rPr>
          <w:u w:val="single"/>
        </w:rPr>
        <w:t>46</w:t>
      </w:r>
      <w:r w:rsidRPr="002E6EE1">
        <w:rPr>
          <w:u w:val="single"/>
        </w:rPr>
        <w:t>% le total des dépenses prévues</w:t>
      </w:r>
      <w:r w:rsidRPr="002E6EE1">
        <w:t xml:space="preserve"> pour 200</w:t>
      </w:r>
      <w:r w:rsidR="002E6EE1" w:rsidRPr="002E6EE1">
        <w:t>9</w:t>
      </w:r>
      <w:r w:rsidRPr="002E6EE1">
        <w:t xml:space="preserve">. En valeur absolue, cet écart correspond à </w:t>
      </w:r>
      <w:r w:rsidR="004F71B8">
        <w:t>413</w:t>
      </w:r>
      <w:r w:rsidRPr="002E6EE1">
        <w:t xml:space="preserve"> millions d’euros. </w:t>
      </w:r>
    </w:p>
    <w:p w:rsidR="00EF257C" w:rsidRPr="008E041F" w:rsidRDefault="00EF257C" w:rsidP="00EF257C">
      <w:pPr>
        <w:autoSpaceDE w:val="0"/>
        <w:autoSpaceDN w:val="0"/>
        <w:adjustRightInd w:val="0"/>
        <w:jc w:val="both"/>
        <w:rPr>
          <w:color w:val="C00000"/>
        </w:rPr>
      </w:pPr>
    </w:p>
    <w:p w:rsidR="00EF257C" w:rsidRPr="004F71B8" w:rsidRDefault="00EF257C" w:rsidP="00EF257C">
      <w:pPr>
        <w:autoSpaceDE w:val="0"/>
        <w:autoSpaceDN w:val="0"/>
        <w:adjustRightInd w:val="0"/>
        <w:jc w:val="both"/>
      </w:pPr>
      <w:r w:rsidRPr="004F71B8">
        <w:t xml:space="preserve">Ces </w:t>
      </w:r>
      <w:r w:rsidRPr="004F71B8">
        <w:rPr>
          <w:u w:val="single"/>
        </w:rPr>
        <w:t>dépenses supplémentaires</w:t>
      </w:r>
      <w:r w:rsidRPr="004F71B8">
        <w:t xml:space="preserve"> proviennent notamment de la majoration relative:</w:t>
      </w: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dotations de fonds de réserve (+ 140.800.540,50 euros) ;</w:t>
      </w:r>
    </w:p>
    <w:p w:rsidR="00C20B63" w:rsidRPr="00B6772E" w:rsidRDefault="00C20B63" w:rsidP="00C20B63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octrois de crédits aux et participations dans les entreprises</w:t>
      </w:r>
      <w:r w:rsidR="004F71B8" w:rsidRPr="00B6772E">
        <w:rPr>
          <w:lang w:val="fr-LU" w:eastAsia="fr-LU"/>
        </w:rPr>
        <w:t xml:space="preserve"> et institutions financières (+123</w:t>
      </w:r>
      <w:r w:rsidRPr="00B6772E">
        <w:rPr>
          <w:lang w:val="fr-LU" w:eastAsia="fr-LU"/>
        </w:rPr>
        <w:t>.4</w:t>
      </w:r>
      <w:r w:rsidR="004F71B8" w:rsidRPr="00B6772E">
        <w:rPr>
          <w:lang w:val="fr-LU" w:eastAsia="fr-LU"/>
        </w:rPr>
        <w:t>7</w:t>
      </w:r>
      <w:r w:rsidRPr="00B6772E">
        <w:rPr>
          <w:lang w:val="fr-LU" w:eastAsia="fr-LU"/>
        </w:rPr>
        <w:t>6.</w:t>
      </w:r>
      <w:r w:rsidR="004F71B8" w:rsidRPr="00B6772E">
        <w:rPr>
          <w:lang w:val="fr-LU" w:eastAsia="fr-LU"/>
        </w:rPr>
        <w:t>799</w:t>
      </w:r>
      <w:r w:rsidRPr="00B6772E">
        <w:rPr>
          <w:lang w:val="fr-LU" w:eastAsia="fr-LU"/>
        </w:rPr>
        <w:t>,</w:t>
      </w:r>
      <w:r w:rsidR="004F71B8" w:rsidRPr="00B6772E">
        <w:rPr>
          <w:lang w:val="fr-LU" w:eastAsia="fr-LU"/>
        </w:rPr>
        <w:t>6</w:t>
      </w:r>
      <w:r w:rsidRPr="00B6772E">
        <w:rPr>
          <w:lang w:val="fr-LU" w:eastAsia="fr-LU"/>
        </w:rPr>
        <w:t>0 euros) ;</w:t>
      </w: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transferts de revenus aux ménages (+ 40.270.305,23 euros) ;</w:t>
      </w:r>
    </w:p>
    <w:p w:rsidR="00C20B63" w:rsidRPr="00B6772E" w:rsidRDefault="00C20B63" w:rsidP="00C20B63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 xml:space="preserve">• aux transferts de revenus aux administrations de sécurité sociale (+ </w:t>
      </w:r>
      <w:r w:rsidR="004F71B8" w:rsidRPr="00B6772E">
        <w:rPr>
          <w:lang w:val="fr-LU" w:eastAsia="fr-LU"/>
        </w:rPr>
        <w:t>4</w:t>
      </w:r>
      <w:r w:rsidRPr="00B6772E">
        <w:rPr>
          <w:lang w:val="fr-LU" w:eastAsia="fr-LU"/>
        </w:rPr>
        <w:t>0.0</w:t>
      </w:r>
      <w:r w:rsidR="004F71B8" w:rsidRPr="00B6772E">
        <w:rPr>
          <w:lang w:val="fr-LU" w:eastAsia="fr-LU"/>
        </w:rPr>
        <w:t>61</w:t>
      </w:r>
      <w:r w:rsidRPr="00B6772E">
        <w:rPr>
          <w:lang w:val="fr-LU" w:eastAsia="fr-LU"/>
        </w:rPr>
        <w:t>.</w:t>
      </w:r>
      <w:r w:rsidR="004F71B8" w:rsidRPr="00B6772E">
        <w:rPr>
          <w:lang w:val="fr-LU" w:eastAsia="fr-LU"/>
        </w:rPr>
        <w:t>509</w:t>
      </w:r>
      <w:r w:rsidRPr="00B6772E">
        <w:rPr>
          <w:lang w:val="fr-LU" w:eastAsia="fr-LU"/>
        </w:rPr>
        <w:t>,</w:t>
      </w:r>
      <w:r w:rsidR="004F71B8" w:rsidRPr="00B6772E">
        <w:rPr>
          <w:lang w:val="fr-LU" w:eastAsia="fr-LU"/>
        </w:rPr>
        <w:t>15</w:t>
      </w:r>
      <w:r w:rsidRPr="00B6772E">
        <w:rPr>
          <w:lang w:val="fr-LU" w:eastAsia="fr-LU"/>
        </w:rPr>
        <w:t xml:space="preserve"> euros) ;</w:t>
      </w: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subventions d’exploitation (+ 29.200.450,60 euros) ;</w:t>
      </w: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transferts de capit</w:t>
      </w:r>
      <w:r w:rsidR="00DD2A8F">
        <w:rPr>
          <w:lang w:val="fr-LU" w:eastAsia="fr-LU"/>
        </w:rPr>
        <w:t>aux aux entreprises (+ 24.420.7</w:t>
      </w:r>
      <w:r w:rsidRPr="00B6772E">
        <w:rPr>
          <w:lang w:val="fr-LU" w:eastAsia="fr-LU"/>
        </w:rPr>
        <w:t>56,41 euros) ;</w:t>
      </w: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transferts de revenus aux administrations publiques locales (+ 23.267.849,89 euros) ;</w:t>
      </w:r>
    </w:p>
    <w:p w:rsidR="00C20B63" w:rsidRPr="00B6772E" w:rsidRDefault="00C20B63" w:rsidP="00C20B63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 xml:space="preserve">• aux </w:t>
      </w:r>
      <w:r w:rsidR="004F71B8" w:rsidRPr="00B6772E">
        <w:rPr>
          <w:lang w:val="fr-LU" w:eastAsia="fr-LU"/>
        </w:rPr>
        <w:t>salaires et charges sociales</w:t>
      </w:r>
      <w:r w:rsidRPr="00B6772E">
        <w:rPr>
          <w:lang w:val="fr-LU" w:eastAsia="fr-LU"/>
        </w:rPr>
        <w:t xml:space="preserve"> (+ </w:t>
      </w:r>
      <w:r w:rsidR="004F71B8" w:rsidRPr="00B6772E">
        <w:rPr>
          <w:lang w:val="fr-LU" w:eastAsia="fr-LU"/>
        </w:rPr>
        <w:t>14</w:t>
      </w:r>
      <w:r w:rsidRPr="00B6772E">
        <w:rPr>
          <w:lang w:val="fr-LU" w:eastAsia="fr-LU"/>
        </w:rPr>
        <w:t>.</w:t>
      </w:r>
      <w:r w:rsidR="004F71B8" w:rsidRPr="00B6772E">
        <w:rPr>
          <w:lang w:val="fr-LU" w:eastAsia="fr-LU"/>
        </w:rPr>
        <w:t>392</w:t>
      </w:r>
      <w:r w:rsidRPr="00B6772E">
        <w:rPr>
          <w:lang w:val="fr-LU" w:eastAsia="fr-LU"/>
        </w:rPr>
        <w:t>.</w:t>
      </w:r>
      <w:r w:rsidR="004F71B8" w:rsidRPr="00B6772E">
        <w:rPr>
          <w:lang w:val="fr-LU" w:eastAsia="fr-LU"/>
        </w:rPr>
        <w:t>132</w:t>
      </w:r>
      <w:r w:rsidRPr="00B6772E">
        <w:rPr>
          <w:lang w:val="fr-LU" w:eastAsia="fr-LU"/>
        </w:rPr>
        <w:t>,</w:t>
      </w:r>
      <w:r w:rsidR="004F71B8" w:rsidRPr="00B6772E">
        <w:rPr>
          <w:lang w:val="fr-LU" w:eastAsia="fr-LU"/>
        </w:rPr>
        <w:t>70</w:t>
      </w:r>
      <w:r w:rsidRPr="00B6772E">
        <w:rPr>
          <w:lang w:val="fr-LU" w:eastAsia="fr-LU"/>
        </w:rPr>
        <w:t xml:space="preserve"> euros) ;</w:t>
      </w:r>
    </w:p>
    <w:p w:rsidR="004F71B8" w:rsidRPr="00B6772E" w:rsidRDefault="004F71B8" w:rsidP="004F71B8">
      <w:pPr>
        <w:autoSpaceDE w:val="0"/>
        <w:autoSpaceDN w:val="0"/>
        <w:adjustRightInd w:val="0"/>
        <w:jc w:val="both"/>
        <w:rPr>
          <w:lang w:val="fr-LU" w:eastAsia="fr-LU"/>
        </w:rPr>
      </w:pPr>
      <w:r w:rsidRPr="00B6772E">
        <w:rPr>
          <w:lang w:val="fr-LU" w:eastAsia="fr-LU"/>
        </w:rPr>
        <w:t>• aux transferts de capitaux aux école</w:t>
      </w:r>
      <w:r w:rsidR="00B6772E" w:rsidRPr="00B6772E">
        <w:rPr>
          <w:lang w:val="fr-LU" w:eastAsia="fr-LU"/>
        </w:rPr>
        <w:t>s</w:t>
      </w:r>
      <w:r w:rsidRPr="00B6772E">
        <w:rPr>
          <w:lang w:val="fr-LU" w:eastAsia="fr-LU"/>
        </w:rPr>
        <w:t xml:space="preserve"> privées (+ 10.708.474,74 euros).</w:t>
      </w:r>
    </w:p>
    <w:p w:rsidR="00EF257C" w:rsidRPr="00862813" w:rsidRDefault="00EF257C" w:rsidP="00EF257C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527235" w:rsidRPr="00862813" w:rsidRDefault="00527235" w:rsidP="00527235">
      <w:pPr>
        <w:autoSpaceDE w:val="0"/>
        <w:autoSpaceDN w:val="0"/>
        <w:adjustRightInd w:val="0"/>
        <w:jc w:val="both"/>
      </w:pPr>
      <w:r w:rsidRPr="00862813">
        <w:lastRenderedPageBreak/>
        <w:t xml:space="preserve">Par rapport au compte général de l’exercice 2008, </w:t>
      </w:r>
      <w:r w:rsidRPr="00862813">
        <w:rPr>
          <w:u w:val="single"/>
        </w:rPr>
        <w:t>les dépenses courantes et en capital</w:t>
      </w:r>
      <w:r w:rsidRPr="00862813">
        <w:t xml:space="preserve"> </w:t>
      </w:r>
      <w:r w:rsidR="00862813" w:rsidRPr="00862813">
        <w:t>ont diminué de 15</w:t>
      </w:r>
      <w:r w:rsidRPr="00862813">
        <w:t>,</w:t>
      </w:r>
      <w:r w:rsidR="00862813" w:rsidRPr="00862813">
        <w:t>02</w:t>
      </w:r>
      <w:r w:rsidRPr="00862813">
        <w:t>%</w:t>
      </w:r>
      <w:r w:rsidR="00862813" w:rsidRPr="00862813">
        <w:t xml:space="preserve"> (soit 1.712 millions d’euros)</w:t>
      </w:r>
      <w:r w:rsidRPr="00862813">
        <w:t>.</w:t>
      </w:r>
    </w:p>
    <w:p w:rsidR="00527235" w:rsidRPr="008E041F" w:rsidRDefault="00527235" w:rsidP="00EF257C">
      <w:pPr>
        <w:autoSpaceDE w:val="0"/>
        <w:autoSpaceDN w:val="0"/>
        <w:adjustRightInd w:val="0"/>
        <w:rPr>
          <w:rFonts w:ascii="Times-Roman" w:hAnsi="Times-Roman" w:cs="Times-Roman"/>
          <w:color w:val="C00000"/>
        </w:rPr>
      </w:pPr>
    </w:p>
    <w:p w:rsidR="00EF257C" w:rsidRPr="00EF257C" w:rsidRDefault="00EF257C" w:rsidP="00EF257C">
      <w:pPr>
        <w:autoSpaceDE w:val="0"/>
        <w:autoSpaceDN w:val="0"/>
        <w:adjustRightInd w:val="0"/>
        <w:jc w:val="both"/>
        <w:rPr>
          <w:color w:val="FF3399"/>
        </w:rPr>
      </w:pPr>
    </w:p>
    <w:p w:rsidR="00FA5E45" w:rsidRPr="00432A2D" w:rsidRDefault="00FA5E45" w:rsidP="00FA5E45">
      <w:pPr>
        <w:autoSpaceDE w:val="0"/>
        <w:autoSpaceDN w:val="0"/>
        <w:adjustRightInd w:val="0"/>
        <w:jc w:val="both"/>
      </w:pPr>
      <w:r w:rsidRPr="00432A2D">
        <w:rPr>
          <w:bCs/>
        </w:rPr>
        <w:t>En ce qui concerne la s</w:t>
      </w:r>
      <w:r w:rsidRPr="00432A2D">
        <w:rPr>
          <w:bCs/>
          <w:iCs/>
        </w:rPr>
        <w:t xml:space="preserve">ituation financière des </w:t>
      </w:r>
      <w:r w:rsidRPr="00E27621">
        <w:rPr>
          <w:bCs/>
          <w:iCs/>
          <w:u w:val="single"/>
        </w:rPr>
        <w:t>Fonds spéciaux</w:t>
      </w:r>
      <w:r w:rsidRPr="00432A2D">
        <w:rPr>
          <w:bCs/>
          <w:iCs/>
        </w:rPr>
        <w:t xml:space="preserve"> de l’Etat, </w:t>
      </w:r>
      <w:r w:rsidRPr="00432A2D">
        <w:t xml:space="preserve">la Cour </w:t>
      </w:r>
      <w:r w:rsidR="00223D6A">
        <w:t xml:space="preserve">des comptes </w:t>
      </w:r>
      <w:r w:rsidRPr="00432A2D">
        <w:t xml:space="preserve">constate une augmentation de </w:t>
      </w:r>
      <w:r w:rsidR="00432A2D" w:rsidRPr="00432A2D">
        <w:t>32</w:t>
      </w:r>
      <w:r w:rsidRPr="00432A2D">
        <w:t>% des avoirs des fonds spéciaux de l’Etat au courant de l’exercice 200</w:t>
      </w:r>
      <w:r w:rsidR="00432A2D" w:rsidRPr="00432A2D">
        <w:t>9 (9,65</w:t>
      </w:r>
      <w:r w:rsidR="00272BC8">
        <w:t>%</w:t>
      </w:r>
      <w:r w:rsidR="00432A2D" w:rsidRPr="00432A2D">
        <w:t xml:space="preserve"> en 2008)</w:t>
      </w:r>
      <w:r w:rsidRPr="00432A2D">
        <w:t>.</w:t>
      </w:r>
      <w:r w:rsidRPr="008E041F">
        <w:rPr>
          <w:color w:val="C00000"/>
        </w:rPr>
        <w:t xml:space="preserve"> </w:t>
      </w:r>
      <w:r w:rsidRPr="00432A2D">
        <w:t>Par rapport aux projections des recettes et des dépenses d</w:t>
      </w:r>
      <w:r w:rsidR="00910FF6" w:rsidRPr="00432A2D">
        <w:t>u</w:t>
      </w:r>
      <w:r w:rsidRPr="00432A2D">
        <w:t xml:space="preserve"> projet de budget de 200</w:t>
      </w:r>
      <w:r w:rsidR="00432A2D" w:rsidRPr="00432A2D">
        <w:t>9</w:t>
      </w:r>
      <w:r w:rsidRPr="00432A2D">
        <w:t xml:space="preserve">, cette augmentation </w:t>
      </w:r>
      <w:r w:rsidR="00223D6A">
        <w:t xml:space="preserve">est intervenue de façon </w:t>
      </w:r>
      <w:r w:rsidRPr="00432A2D">
        <w:t>imprévue.</w:t>
      </w:r>
      <w:r w:rsidRPr="008E041F">
        <w:rPr>
          <w:color w:val="C00000"/>
        </w:rPr>
        <w:t xml:space="preserve"> </w:t>
      </w:r>
      <w:r w:rsidRPr="00432A2D">
        <w:t>Ceci s’explique par le fait que les recettes des fonds spéciaux ont été plus importantes que prévues</w:t>
      </w:r>
      <w:r w:rsidR="00272BC8">
        <w:t xml:space="preserve"> (+28,06</w:t>
      </w:r>
      <w:r w:rsidR="009921C9">
        <w:t>%)</w:t>
      </w:r>
      <w:r w:rsidRPr="00432A2D">
        <w:t xml:space="preserve"> et que l’évolution des dépenses a été moins prononcée que prévue en 200</w:t>
      </w:r>
      <w:r w:rsidR="00432A2D" w:rsidRPr="00432A2D">
        <w:t>9</w:t>
      </w:r>
      <w:r w:rsidR="009921C9">
        <w:t xml:space="preserve"> (-7,52</w:t>
      </w:r>
      <w:r w:rsidR="00272BC8">
        <w:t>%</w:t>
      </w:r>
      <w:r w:rsidR="009921C9">
        <w:t>)</w:t>
      </w:r>
      <w:r w:rsidRPr="00432A2D">
        <w:t>.</w:t>
      </w:r>
    </w:p>
    <w:p w:rsidR="00FA5E45" w:rsidRPr="00812419" w:rsidRDefault="00FA5E45" w:rsidP="00FA5E45">
      <w:pPr>
        <w:autoSpaceDE w:val="0"/>
        <w:autoSpaceDN w:val="0"/>
        <w:adjustRightInd w:val="0"/>
        <w:jc w:val="both"/>
      </w:pPr>
    </w:p>
    <w:p w:rsidR="003260D1" w:rsidRPr="003260D1" w:rsidRDefault="003260D1" w:rsidP="00FA5E45">
      <w:pPr>
        <w:autoSpaceDE w:val="0"/>
        <w:autoSpaceDN w:val="0"/>
        <w:adjustRightInd w:val="0"/>
        <w:jc w:val="both"/>
      </w:pPr>
      <w:r w:rsidRPr="003260D1">
        <w:t>Au cours de l’exercice 2009 des emprunts à hauteur de 200 millions d’euros ont été avancés par la Trésorerie au Fonds du rail et au Fonds des routes.</w:t>
      </w:r>
      <w:r>
        <w:t xml:space="preserve"> Déduction faite de ces emprunts et des alimentations supplé</w:t>
      </w:r>
      <w:r w:rsidR="00272BC8">
        <w:t>mentaires (770 millions d’euros</w:t>
      </w:r>
      <w:r>
        <w:t>), les avoirs des fonds spéciaux s</w:t>
      </w:r>
      <w:r w:rsidR="00272BC8">
        <w:t>eraient</w:t>
      </w:r>
      <w:r>
        <w:t xml:space="preserve"> en diminution de l’ordre de 21,8%. </w:t>
      </w:r>
    </w:p>
    <w:p w:rsidR="003260D1" w:rsidRDefault="003260D1" w:rsidP="00FA5E45">
      <w:pPr>
        <w:autoSpaceDE w:val="0"/>
        <w:autoSpaceDN w:val="0"/>
        <w:adjustRightInd w:val="0"/>
        <w:jc w:val="both"/>
        <w:rPr>
          <w:color w:val="C00000"/>
        </w:rPr>
      </w:pPr>
    </w:p>
    <w:p w:rsidR="00FA30D7" w:rsidRPr="00FA30D7" w:rsidRDefault="00FA30D7" w:rsidP="00FA30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30D7">
        <w:rPr>
          <w:bCs/>
          <w:sz w:val="28"/>
          <w:szCs w:val="28"/>
        </w:rPr>
        <w:t>*</w:t>
      </w:r>
    </w:p>
    <w:p w:rsidR="00EF257C" w:rsidRDefault="00EF257C" w:rsidP="00EF257C">
      <w:pPr>
        <w:autoSpaceDE w:val="0"/>
        <w:autoSpaceDN w:val="0"/>
        <w:adjustRightInd w:val="0"/>
        <w:jc w:val="both"/>
      </w:pPr>
      <w:r w:rsidRPr="00026AB6">
        <w:rPr>
          <w:b/>
          <w:bCs/>
          <w:sz w:val="28"/>
          <w:szCs w:val="28"/>
          <w:u w:val="single"/>
        </w:rPr>
        <w:t xml:space="preserve"> </w:t>
      </w:r>
    </w:p>
    <w:p w:rsidR="00A47800" w:rsidRPr="00A47800" w:rsidRDefault="00BD7E76" w:rsidP="00A47800">
      <w:pPr>
        <w:autoSpaceDE w:val="0"/>
        <w:autoSpaceDN w:val="0"/>
        <w:adjustRightInd w:val="0"/>
        <w:jc w:val="both"/>
        <w:rPr>
          <w:color w:val="C00000"/>
          <w:lang w:val="fr-LU" w:eastAsia="fr-LU"/>
        </w:rPr>
      </w:pPr>
      <w:r w:rsidRPr="00190F73">
        <w:rPr>
          <w:lang w:val="fr-LU" w:eastAsia="fr-LU"/>
        </w:rPr>
        <w:t>L</w:t>
      </w:r>
      <w:r w:rsidR="00A47800" w:rsidRPr="00190F73">
        <w:rPr>
          <w:lang w:val="fr-LU" w:eastAsia="fr-LU"/>
        </w:rPr>
        <w:t xml:space="preserve">a Commission du Contrôle de l’exécution budgétaire </w:t>
      </w:r>
      <w:r w:rsidRPr="00190F73">
        <w:rPr>
          <w:lang w:val="fr-LU" w:eastAsia="fr-LU"/>
        </w:rPr>
        <w:t>se déclare</w:t>
      </w:r>
      <w:r w:rsidR="00FA30D7">
        <w:rPr>
          <w:lang w:val="fr-LU" w:eastAsia="fr-LU"/>
        </w:rPr>
        <w:t xml:space="preserve"> </w:t>
      </w:r>
      <w:r w:rsidRPr="00190F73">
        <w:rPr>
          <w:lang w:val="fr-LU" w:eastAsia="fr-LU"/>
        </w:rPr>
        <w:t>satisfaite d</w:t>
      </w:r>
      <w:r w:rsidR="00122C4A" w:rsidRPr="00190F73">
        <w:rPr>
          <w:lang w:val="fr-LU" w:eastAsia="fr-LU"/>
        </w:rPr>
        <w:t>’avoir réussi</w:t>
      </w:r>
      <w:r w:rsidR="00223D6A" w:rsidRPr="00190F73">
        <w:rPr>
          <w:lang w:val="fr-LU" w:eastAsia="fr-LU"/>
        </w:rPr>
        <w:t>,</w:t>
      </w:r>
      <w:r w:rsidR="00122C4A" w:rsidRPr="00190F73">
        <w:rPr>
          <w:lang w:val="fr-LU" w:eastAsia="fr-LU"/>
        </w:rPr>
        <w:t xml:space="preserve"> cette année</w:t>
      </w:r>
      <w:r w:rsidR="00223D6A" w:rsidRPr="00190F73">
        <w:rPr>
          <w:lang w:val="fr-LU" w:eastAsia="fr-LU"/>
        </w:rPr>
        <w:t>,</w:t>
      </w:r>
      <w:r w:rsidRPr="00190F73">
        <w:rPr>
          <w:lang w:val="fr-LU" w:eastAsia="fr-LU"/>
        </w:rPr>
        <w:t xml:space="preserve"> </w:t>
      </w:r>
      <w:r w:rsidR="00F74BEE" w:rsidRPr="00190F73">
        <w:rPr>
          <w:lang w:val="fr-LU" w:eastAsia="fr-LU"/>
        </w:rPr>
        <w:t>la</w:t>
      </w:r>
      <w:r w:rsidRPr="00190F73">
        <w:rPr>
          <w:lang w:val="fr-LU" w:eastAsia="fr-LU"/>
        </w:rPr>
        <w:t xml:space="preserve"> présent</w:t>
      </w:r>
      <w:r w:rsidR="00F74BEE" w:rsidRPr="00190F73">
        <w:rPr>
          <w:lang w:val="fr-LU" w:eastAsia="fr-LU"/>
        </w:rPr>
        <w:t>ation de</w:t>
      </w:r>
      <w:r w:rsidR="00A47800" w:rsidRPr="00190F73">
        <w:rPr>
          <w:lang w:val="fr-LU" w:eastAsia="fr-LU"/>
        </w:rPr>
        <w:t xml:space="preserve"> son rapport relatif au</w:t>
      </w:r>
      <w:r w:rsidR="00CE7C3D" w:rsidRPr="00190F73">
        <w:rPr>
          <w:lang w:val="fr-LU" w:eastAsia="fr-LU"/>
        </w:rPr>
        <w:t xml:space="preserve"> projet</w:t>
      </w:r>
      <w:r w:rsidR="00A47800" w:rsidRPr="00190F73">
        <w:rPr>
          <w:lang w:val="fr-LU" w:eastAsia="fr-LU"/>
        </w:rPr>
        <w:t xml:space="preserve"> de loi </w:t>
      </w:r>
      <w:r w:rsidR="00CE7C3D" w:rsidRPr="00190F73">
        <w:rPr>
          <w:lang w:val="fr-LU" w:eastAsia="fr-LU"/>
        </w:rPr>
        <w:t>sous rubrique</w:t>
      </w:r>
      <w:r w:rsidR="00A47800" w:rsidRPr="00190F73">
        <w:rPr>
          <w:lang w:val="fr-LU" w:eastAsia="fr-LU"/>
        </w:rPr>
        <w:t xml:space="preserve"> au vote de la Chambre des Députés </w:t>
      </w:r>
      <w:r w:rsidR="00CE7C3D" w:rsidRPr="00190F73">
        <w:rPr>
          <w:lang w:val="fr-LU" w:eastAsia="fr-LU"/>
        </w:rPr>
        <w:t xml:space="preserve">avant celui de </w:t>
      </w:r>
      <w:r w:rsidR="00A47800" w:rsidRPr="00190F73">
        <w:rPr>
          <w:lang w:val="fr-LU" w:eastAsia="fr-LU"/>
        </w:rPr>
        <w:t>la loi budgétaire.</w:t>
      </w:r>
      <w:r w:rsidRPr="00190F73">
        <w:rPr>
          <w:lang w:val="fr-LU" w:eastAsia="fr-LU"/>
        </w:rPr>
        <w:t xml:space="preserve"> </w:t>
      </w:r>
    </w:p>
    <w:p w:rsidR="00FC39F0" w:rsidRDefault="00FC39F0" w:rsidP="00AE3B7E">
      <w:pPr>
        <w:autoSpaceDE w:val="0"/>
        <w:autoSpaceDN w:val="0"/>
        <w:adjustRightInd w:val="0"/>
        <w:jc w:val="both"/>
        <w:rPr>
          <w:lang w:val="fr-LU" w:eastAsia="fr-LU"/>
        </w:rPr>
      </w:pPr>
    </w:p>
    <w:p w:rsidR="00FA30D7" w:rsidRDefault="00FA30D7" w:rsidP="00AE3B7E">
      <w:pPr>
        <w:autoSpaceDE w:val="0"/>
        <w:autoSpaceDN w:val="0"/>
        <w:adjustRightInd w:val="0"/>
        <w:jc w:val="both"/>
        <w:rPr>
          <w:lang w:val="fr-LU" w:eastAsia="fr-LU"/>
        </w:rPr>
      </w:pPr>
      <w:r>
        <w:rPr>
          <w:lang w:val="fr-LU" w:eastAsia="fr-LU"/>
        </w:rPr>
        <w:t xml:space="preserve">Elle a également réussi à organiser un échange entre le ministère des </w:t>
      </w:r>
      <w:r w:rsidRPr="006E325E">
        <w:t>Finances, l’Inspection générale des finances (IGF)</w:t>
      </w:r>
      <w:r>
        <w:t xml:space="preserve"> et</w:t>
      </w:r>
      <w:r w:rsidRPr="006E325E">
        <w:t xml:space="preserve"> la Cour des comptes</w:t>
      </w:r>
      <w:r>
        <w:t>, afin qu’à l’avenir les informations</w:t>
      </w:r>
      <w:r w:rsidRPr="00FA30D7">
        <w:rPr>
          <w:lang w:val="fr-LU" w:eastAsia="fr-LU"/>
        </w:rPr>
        <w:t xml:space="preserve"> </w:t>
      </w:r>
      <w:r>
        <w:rPr>
          <w:lang w:val="fr-LU" w:eastAsia="fr-LU"/>
        </w:rPr>
        <w:t xml:space="preserve">relatives aux fonds spéciaux </w:t>
      </w:r>
      <w:r w:rsidRPr="0025079D">
        <w:rPr>
          <w:lang w:val="fr-LU" w:eastAsia="fr-LU"/>
        </w:rPr>
        <w:t>fournies au compte général de l’Etat</w:t>
      </w:r>
      <w:r>
        <w:rPr>
          <w:lang w:val="fr-LU" w:eastAsia="fr-LU"/>
        </w:rPr>
        <w:t xml:space="preserve"> soient </w:t>
      </w:r>
      <w:r w:rsidRPr="00C0703D">
        <w:rPr>
          <w:lang w:val="fr-LU" w:eastAsia="fr-LU"/>
        </w:rPr>
        <w:t>accompagnées d’explications permettant une véritable analyse de fond.</w:t>
      </w:r>
    </w:p>
    <w:p w:rsidR="00FA30D7" w:rsidRPr="0025079D" w:rsidRDefault="00FA30D7" w:rsidP="00AE3B7E">
      <w:pPr>
        <w:autoSpaceDE w:val="0"/>
        <w:autoSpaceDN w:val="0"/>
        <w:adjustRightInd w:val="0"/>
        <w:jc w:val="both"/>
        <w:rPr>
          <w:lang w:val="fr-LU" w:eastAsia="fr-LU"/>
        </w:rPr>
      </w:pPr>
    </w:p>
    <w:sectPr w:rsidR="00FA30D7" w:rsidRPr="0025079D">
      <w:footerReference w:type="even" r:id="rId7"/>
      <w:footerReference w:type="default" r:id="rId8"/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D0" w:rsidRDefault="00D805D0">
      <w:r>
        <w:separator/>
      </w:r>
    </w:p>
  </w:endnote>
  <w:endnote w:type="continuationSeparator" w:id="0">
    <w:p w:rsidR="00D805D0" w:rsidRDefault="00D8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51" w:rsidRDefault="00582051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E6762B">
      <w:rPr>
        <w:rStyle w:val="Numrodepage"/>
      </w:rPr>
      <w:fldChar w:fldCharType="separate"/>
    </w:r>
    <w:r w:rsidR="00E6762B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582051" w:rsidRDefault="005820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51" w:rsidRDefault="00582051" w:rsidP="003A7B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064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82051" w:rsidRDefault="00582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D0" w:rsidRDefault="00D805D0">
      <w:r>
        <w:separator/>
      </w:r>
    </w:p>
  </w:footnote>
  <w:footnote w:type="continuationSeparator" w:id="0">
    <w:p w:rsidR="00D805D0" w:rsidRDefault="00D8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D6E"/>
    <w:multiLevelType w:val="hybridMultilevel"/>
    <w:tmpl w:val="8A7E7CD4"/>
    <w:lvl w:ilvl="0" w:tplc="1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1EA"/>
    <w:multiLevelType w:val="singleLevel"/>
    <w:tmpl w:val="681EDA4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EE2F02"/>
    <w:multiLevelType w:val="hybridMultilevel"/>
    <w:tmpl w:val="DC2E8328"/>
    <w:lvl w:ilvl="0" w:tplc="31A6FA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1ED2"/>
    <w:multiLevelType w:val="hybridMultilevel"/>
    <w:tmpl w:val="1A68672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4E6"/>
    <w:multiLevelType w:val="hybridMultilevel"/>
    <w:tmpl w:val="6A5489E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7AF5"/>
    <w:multiLevelType w:val="hybridMultilevel"/>
    <w:tmpl w:val="6A6E8F8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44EF"/>
    <w:multiLevelType w:val="hybridMultilevel"/>
    <w:tmpl w:val="63DC7C7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39A1"/>
    <w:multiLevelType w:val="multilevel"/>
    <w:tmpl w:val="70F85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fr-F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E9"/>
    <w:rsid w:val="0000235F"/>
    <w:rsid w:val="00010059"/>
    <w:rsid w:val="00010D9E"/>
    <w:rsid w:val="00015131"/>
    <w:rsid w:val="00015604"/>
    <w:rsid w:val="00020AA2"/>
    <w:rsid w:val="00026AB6"/>
    <w:rsid w:val="00027CD0"/>
    <w:rsid w:val="00033831"/>
    <w:rsid w:val="00036785"/>
    <w:rsid w:val="0003724F"/>
    <w:rsid w:val="00041891"/>
    <w:rsid w:val="00044700"/>
    <w:rsid w:val="00046A27"/>
    <w:rsid w:val="00060640"/>
    <w:rsid w:val="000645A1"/>
    <w:rsid w:val="00074900"/>
    <w:rsid w:val="0007673F"/>
    <w:rsid w:val="000854BE"/>
    <w:rsid w:val="0008744E"/>
    <w:rsid w:val="00092983"/>
    <w:rsid w:val="00097E19"/>
    <w:rsid w:val="000A1C64"/>
    <w:rsid w:val="000A2A20"/>
    <w:rsid w:val="000A2B94"/>
    <w:rsid w:val="000A2EF1"/>
    <w:rsid w:val="000A4532"/>
    <w:rsid w:val="000A58A1"/>
    <w:rsid w:val="000A6BD8"/>
    <w:rsid w:val="000B3A01"/>
    <w:rsid w:val="000D5C98"/>
    <w:rsid w:val="000D5FB7"/>
    <w:rsid w:val="000E081A"/>
    <w:rsid w:val="000E123D"/>
    <w:rsid w:val="000E19E4"/>
    <w:rsid w:val="000F18B0"/>
    <w:rsid w:val="000F7378"/>
    <w:rsid w:val="00106DFD"/>
    <w:rsid w:val="00122C4A"/>
    <w:rsid w:val="00127218"/>
    <w:rsid w:val="001325AB"/>
    <w:rsid w:val="00134B94"/>
    <w:rsid w:val="001353E9"/>
    <w:rsid w:val="00136E18"/>
    <w:rsid w:val="00137909"/>
    <w:rsid w:val="001425C9"/>
    <w:rsid w:val="0015501D"/>
    <w:rsid w:val="00162F02"/>
    <w:rsid w:val="0016790E"/>
    <w:rsid w:val="001707C1"/>
    <w:rsid w:val="001765E3"/>
    <w:rsid w:val="0018177A"/>
    <w:rsid w:val="001817C7"/>
    <w:rsid w:val="001842C9"/>
    <w:rsid w:val="00185150"/>
    <w:rsid w:val="00185269"/>
    <w:rsid w:val="00190F73"/>
    <w:rsid w:val="001A4B1E"/>
    <w:rsid w:val="001A7CBF"/>
    <w:rsid w:val="001B60F1"/>
    <w:rsid w:val="001C2C92"/>
    <w:rsid w:val="001C4729"/>
    <w:rsid w:val="001D3D3E"/>
    <w:rsid w:val="001D4381"/>
    <w:rsid w:val="001D60C1"/>
    <w:rsid w:val="001E2C1B"/>
    <w:rsid w:val="001E30A1"/>
    <w:rsid w:val="001E4C03"/>
    <w:rsid w:val="001F04D1"/>
    <w:rsid w:val="001F571D"/>
    <w:rsid w:val="001F6857"/>
    <w:rsid w:val="001F68AA"/>
    <w:rsid w:val="00206FD1"/>
    <w:rsid w:val="0021575B"/>
    <w:rsid w:val="00220735"/>
    <w:rsid w:val="002215BE"/>
    <w:rsid w:val="00223D6A"/>
    <w:rsid w:val="00226459"/>
    <w:rsid w:val="00230093"/>
    <w:rsid w:val="002311AA"/>
    <w:rsid w:val="0023141D"/>
    <w:rsid w:val="00231820"/>
    <w:rsid w:val="00231F6C"/>
    <w:rsid w:val="00232F8F"/>
    <w:rsid w:val="00235A2A"/>
    <w:rsid w:val="00241B7E"/>
    <w:rsid w:val="00247E56"/>
    <w:rsid w:val="0025079D"/>
    <w:rsid w:val="00250847"/>
    <w:rsid w:val="00261308"/>
    <w:rsid w:val="00266C64"/>
    <w:rsid w:val="00272BC8"/>
    <w:rsid w:val="00273E1B"/>
    <w:rsid w:val="00281FFC"/>
    <w:rsid w:val="00283E3E"/>
    <w:rsid w:val="0029024F"/>
    <w:rsid w:val="00294A5B"/>
    <w:rsid w:val="00294D1A"/>
    <w:rsid w:val="00297592"/>
    <w:rsid w:val="002A0901"/>
    <w:rsid w:val="002A0F6B"/>
    <w:rsid w:val="002A6BB6"/>
    <w:rsid w:val="002C34B9"/>
    <w:rsid w:val="002C3D4D"/>
    <w:rsid w:val="002C57C7"/>
    <w:rsid w:val="002C7C2F"/>
    <w:rsid w:val="002D177F"/>
    <w:rsid w:val="002E6EE1"/>
    <w:rsid w:val="002F34B4"/>
    <w:rsid w:val="00312B07"/>
    <w:rsid w:val="00315519"/>
    <w:rsid w:val="00315A57"/>
    <w:rsid w:val="003167B9"/>
    <w:rsid w:val="0032091F"/>
    <w:rsid w:val="00320CF2"/>
    <w:rsid w:val="00323E69"/>
    <w:rsid w:val="003260D1"/>
    <w:rsid w:val="00327DD8"/>
    <w:rsid w:val="00343FFD"/>
    <w:rsid w:val="00354291"/>
    <w:rsid w:val="00361766"/>
    <w:rsid w:val="00363BCD"/>
    <w:rsid w:val="003739FF"/>
    <w:rsid w:val="003763F6"/>
    <w:rsid w:val="0037720A"/>
    <w:rsid w:val="0038103D"/>
    <w:rsid w:val="00382A02"/>
    <w:rsid w:val="00392861"/>
    <w:rsid w:val="00392B23"/>
    <w:rsid w:val="00392EBB"/>
    <w:rsid w:val="00396158"/>
    <w:rsid w:val="003A08CD"/>
    <w:rsid w:val="003A120F"/>
    <w:rsid w:val="003A1492"/>
    <w:rsid w:val="003A50EC"/>
    <w:rsid w:val="003A5203"/>
    <w:rsid w:val="003A5615"/>
    <w:rsid w:val="003A6EE6"/>
    <w:rsid w:val="003A7BD1"/>
    <w:rsid w:val="003A7F51"/>
    <w:rsid w:val="003B5A5D"/>
    <w:rsid w:val="003C076E"/>
    <w:rsid w:val="003D0DB6"/>
    <w:rsid w:val="003D16AB"/>
    <w:rsid w:val="003D5485"/>
    <w:rsid w:val="003E09FE"/>
    <w:rsid w:val="003E143C"/>
    <w:rsid w:val="003E3317"/>
    <w:rsid w:val="003E451B"/>
    <w:rsid w:val="003F6CFC"/>
    <w:rsid w:val="004029DF"/>
    <w:rsid w:val="00413FA6"/>
    <w:rsid w:val="00414E11"/>
    <w:rsid w:val="0041764E"/>
    <w:rsid w:val="00423BF9"/>
    <w:rsid w:val="004273DA"/>
    <w:rsid w:val="00432A2D"/>
    <w:rsid w:val="00433368"/>
    <w:rsid w:val="004412A8"/>
    <w:rsid w:val="004442DD"/>
    <w:rsid w:val="004447DF"/>
    <w:rsid w:val="004460F4"/>
    <w:rsid w:val="004518B0"/>
    <w:rsid w:val="004537A7"/>
    <w:rsid w:val="00454247"/>
    <w:rsid w:val="00460505"/>
    <w:rsid w:val="00462E84"/>
    <w:rsid w:val="0046552B"/>
    <w:rsid w:val="004778FE"/>
    <w:rsid w:val="00477E24"/>
    <w:rsid w:val="00481771"/>
    <w:rsid w:val="00482E22"/>
    <w:rsid w:val="00490898"/>
    <w:rsid w:val="00491E16"/>
    <w:rsid w:val="004965D5"/>
    <w:rsid w:val="004A0E70"/>
    <w:rsid w:val="004A4505"/>
    <w:rsid w:val="004A4A79"/>
    <w:rsid w:val="004A6F4A"/>
    <w:rsid w:val="004B5316"/>
    <w:rsid w:val="004C250D"/>
    <w:rsid w:val="004C7C45"/>
    <w:rsid w:val="004D1BFB"/>
    <w:rsid w:val="004E3B53"/>
    <w:rsid w:val="004E4288"/>
    <w:rsid w:val="004F147D"/>
    <w:rsid w:val="004F1850"/>
    <w:rsid w:val="004F3E09"/>
    <w:rsid w:val="004F57DA"/>
    <w:rsid w:val="004F6A72"/>
    <w:rsid w:val="004F71B8"/>
    <w:rsid w:val="00527235"/>
    <w:rsid w:val="0053013E"/>
    <w:rsid w:val="00530A7F"/>
    <w:rsid w:val="00531293"/>
    <w:rsid w:val="005312D9"/>
    <w:rsid w:val="00533158"/>
    <w:rsid w:val="005340BF"/>
    <w:rsid w:val="00535052"/>
    <w:rsid w:val="00547720"/>
    <w:rsid w:val="00550ABF"/>
    <w:rsid w:val="00556A5D"/>
    <w:rsid w:val="00565691"/>
    <w:rsid w:val="00570F44"/>
    <w:rsid w:val="00571661"/>
    <w:rsid w:val="00573062"/>
    <w:rsid w:val="00573F2A"/>
    <w:rsid w:val="0057686D"/>
    <w:rsid w:val="00582051"/>
    <w:rsid w:val="005829BC"/>
    <w:rsid w:val="00584DC2"/>
    <w:rsid w:val="005A7747"/>
    <w:rsid w:val="005B1B63"/>
    <w:rsid w:val="005B6811"/>
    <w:rsid w:val="005C15E4"/>
    <w:rsid w:val="005C2B3D"/>
    <w:rsid w:val="005C5FE6"/>
    <w:rsid w:val="005D1F18"/>
    <w:rsid w:val="005E1110"/>
    <w:rsid w:val="005E43CA"/>
    <w:rsid w:val="005F1D7A"/>
    <w:rsid w:val="005F48FC"/>
    <w:rsid w:val="006003B1"/>
    <w:rsid w:val="00606523"/>
    <w:rsid w:val="00613697"/>
    <w:rsid w:val="00624886"/>
    <w:rsid w:val="00625731"/>
    <w:rsid w:val="00626039"/>
    <w:rsid w:val="00630241"/>
    <w:rsid w:val="00636676"/>
    <w:rsid w:val="00640F4F"/>
    <w:rsid w:val="00644785"/>
    <w:rsid w:val="006458FC"/>
    <w:rsid w:val="006504F8"/>
    <w:rsid w:val="00653BE4"/>
    <w:rsid w:val="00666F8E"/>
    <w:rsid w:val="00670EB9"/>
    <w:rsid w:val="006749C0"/>
    <w:rsid w:val="006915CA"/>
    <w:rsid w:val="00694269"/>
    <w:rsid w:val="00694CED"/>
    <w:rsid w:val="00695E88"/>
    <w:rsid w:val="00697C1E"/>
    <w:rsid w:val="00697FA4"/>
    <w:rsid w:val="006A01F4"/>
    <w:rsid w:val="006A052E"/>
    <w:rsid w:val="006A3C0D"/>
    <w:rsid w:val="006A3F86"/>
    <w:rsid w:val="006B0C11"/>
    <w:rsid w:val="006C0F3D"/>
    <w:rsid w:val="006D42CD"/>
    <w:rsid w:val="006D5D6F"/>
    <w:rsid w:val="006E325E"/>
    <w:rsid w:val="006E594C"/>
    <w:rsid w:val="006E65BA"/>
    <w:rsid w:val="006F2998"/>
    <w:rsid w:val="00700918"/>
    <w:rsid w:val="007029A3"/>
    <w:rsid w:val="0071462E"/>
    <w:rsid w:val="00715D54"/>
    <w:rsid w:val="007200E4"/>
    <w:rsid w:val="00720A84"/>
    <w:rsid w:val="00722786"/>
    <w:rsid w:val="007265DB"/>
    <w:rsid w:val="0073097F"/>
    <w:rsid w:val="0073149F"/>
    <w:rsid w:val="00733121"/>
    <w:rsid w:val="0073727B"/>
    <w:rsid w:val="0074017E"/>
    <w:rsid w:val="00740BD3"/>
    <w:rsid w:val="0075061C"/>
    <w:rsid w:val="007624C1"/>
    <w:rsid w:val="00767966"/>
    <w:rsid w:val="00767EFA"/>
    <w:rsid w:val="00771500"/>
    <w:rsid w:val="00776645"/>
    <w:rsid w:val="0078624E"/>
    <w:rsid w:val="00787516"/>
    <w:rsid w:val="00793E96"/>
    <w:rsid w:val="007C11F1"/>
    <w:rsid w:val="007C25F6"/>
    <w:rsid w:val="007C4FFE"/>
    <w:rsid w:val="007C6D82"/>
    <w:rsid w:val="007D33A2"/>
    <w:rsid w:val="007D38D7"/>
    <w:rsid w:val="007E075B"/>
    <w:rsid w:val="007E524E"/>
    <w:rsid w:val="007F13DE"/>
    <w:rsid w:val="007F519E"/>
    <w:rsid w:val="00801A5B"/>
    <w:rsid w:val="0080322F"/>
    <w:rsid w:val="0080349A"/>
    <w:rsid w:val="00812419"/>
    <w:rsid w:val="00834677"/>
    <w:rsid w:val="0084244D"/>
    <w:rsid w:val="00842E1B"/>
    <w:rsid w:val="008512DA"/>
    <w:rsid w:val="00856C55"/>
    <w:rsid w:val="00862813"/>
    <w:rsid w:val="00865064"/>
    <w:rsid w:val="00870AD0"/>
    <w:rsid w:val="0087122A"/>
    <w:rsid w:val="00882F53"/>
    <w:rsid w:val="00883636"/>
    <w:rsid w:val="00885CF9"/>
    <w:rsid w:val="008948BA"/>
    <w:rsid w:val="008B2198"/>
    <w:rsid w:val="008B51C5"/>
    <w:rsid w:val="008C2A23"/>
    <w:rsid w:val="008C453E"/>
    <w:rsid w:val="008C4CC3"/>
    <w:rsid w:val="008D7BBC"/>
    <w:rsid w:val="008E041F"/>
    <w:rsid w:val="008E0927"/>
    <w:rsid w:val="008E2C1C"/>
    <w:rsid w:val="008E5037"/>
    <w:rsid w:val="008E6169"/>
    <w:rsid w:val="008E61B3"/>
    <w:rsid w:val="008F11B6"/>
    <w:rsid w:val="00900894"/>
    <w:rsid w:val="00902E38"/>
    <w:rsid w:val="009101DF"/>
    <w:rsid w:val="00910FF6"/>
    <w:rsid w:val="009114BA"/>
    <w:rsid w:val="0092410A"/>
    <w:rsid w:val="00924429"/>
    <w:rsid w:val="0092569C"/>
    <w:rsid w:val="00926608"/>
    <w:rsid w:val="00926ADB"/>
    <w:rsid w:val="00933FBB"/>
    <w:rsid w:val="009354E7"/>
    <w:rsid w:val="00935999"/>
    <w:rsid w:val="0094071E"/>
    <w:rsid w:val="00941114"/>
    <w:rsid w:val="00943164"/>
    <w:rsid w:val="00943BEA"/>
    <w:rsid w:val="009511F5"/>
    <w:rsid w:val="009558EA"/>
    <w:rsid w:val="00956A8D"/>
    <w:rsid w:val="00965108"/>
    <w:rsid w:val="009714D5"/>
    <w:rsid w:val="009716EA"/>
    <w:rsid w:val="0098270C"/>
    <w:rsid w:val="0098396A"/>
    <w:rsid w:val="009921C9"/>
    <w:rsid w:val="009930C3"/>
    <w:rsid w:val="0099523B"/>
    <w:rsid w:val="009A43AE"/>
    <w:rsid w:val="009A5748"/>
    <w:rsid w:val="009B01A5"/>
    <w:rsid w:val="009B05F2"/>
    <w:rsid w:val="009B1A68"/>
    <w:rsid w:val="009D0F2E"/>
    <w:rsid w:val="009D1065"/>
    <w:rsid w:val="009D46CF"/>
    <w:rsid w:val="009E3458"/>
    <w:rsid w:val="009E7E90"/>
    <w:rsid w:val="009F0A03"/>
    <w:rsid w:val="009F0A4C"/>
    <w:rsid w:val="009F0E6D"/>
    <w:rsid w:val="00A03FEE"/>
    <w:rsid w:val="00A04FF4"/>
    <w:rsid w:val="00A078DA"/>
    <w:rsid w:val="00A1060C"/>
    <w:rsid w:val="00A10FC2"/>
    <w:rsid w:val="00A13E56"/>
    <w:rsid w:val="00A26FFE"/>
    <w:rsid w:val="00A46D22"/>
    <w:rsid w:val="00A47800"/>
    <w:rsid w:val="00A6102E"/>
    <w:rsid w:val="00A77B51"/>
    <w:rsid w:val="00A81EEC"/>
    <w:rsid w:val="00A82C9F"/>
    <w:rsid w:val="00A92A6C"/>
    <w:rsid w:val="00A93FDD"/>
    <w:rsid w:val="00AA32E5"/>
    <w:rsid w:val="00AA66B7"/>
    <w:rsid w:val="00AB2739"/>
    <w:rsid w:val="00AB4985"/>
    <w:rsid w:val="00AC1774"/>
    <w:rsid w:val="00AC7A77"/>
    <w:rsid w:val="00AD5320"/>
    <w:rsid w:val="00AE0870"/>
    <w:rsid w:val="00AE3B7E"/>
    <w:rsid w:val="00AE693A"/>
    <w:rsid w:val="00AF0DBD"/>
    <w:rsid w:val="00AF3226"/>
    <w:rsid w:val="00AF32B0"/>
    <w:rsid w:val="00AF5D85"/>
    <w:rsid w:val="00B01DC5"/>
    <w:rsid w:val="00B0224E"/>
    <w:rsid w:val="00B05C38"/>
    <w:rsid w:val="00B07D71"/>
    <w:rsid w:val="00B117D3"/>
    <w:rsid w:val="00B14A0D"/>
    <w:rsid w:val="00B2082B"/>
    <w:rsid w:val="00B23CA6"/>
    <w:rsid w:val="00B334C5"/>
    <w:rsid w:val="00B418FB"/>
    <w:rsid w:val="00B4357D"/>
    <w:rsid w:val="00B506DE"/>
    <w:rsid w:val="00B51DCF"/>
    <w:rsid w:val="00B6772E"/>
    <w:rsid w:val="00B728E6"/>
    <w:rsid w:val="00B76382"/>
    <w:rsid w:val="00B824E4"/>
    <w:rsid w:val="00B96724"/>
    <w:rsid w:val="00B97511"/>
    <w:rsid w:val="00BA5007"/>
    <w:rsid w:val="00BA717B"/>
    <w:rsid w:val="00BB0C24"/>
    <w:rsid w:val="00BB18BE"/>
    <w:rsid w:val="00BB4C70"/>
    <w:rsid w:val="00BC2A2C"/>
    <w:rsid w:val="00BC448E"/>
    <w:rsid w:val="00BD0075"/>
    <w:rsid w:val="00BD202D"/>
    <w:rsid w:val="00BD5852"/>
    <w:rsid w:val="00BD7E76"/>
    <w:rsid w:val="00BE4F8B"/>
    <w:rsid w:val="00BE56DA"/>
    <w:rsid w:val="00BE7F2D"/>
    <w:rsid w:val="00BF0C25"/>
    <w:rsid w:val="00BF3F79"/>
    <w:rsid w:val="00BF4879"/>
    <w:rsid w:val="00BF700A"/>
    <w:rsid w:val="00BF7A07"/>
    <w:rsid w:val="00C0365E"/>
    <w:rsid w:val="00C0703D"/>
    <w:rsid w:val="00C07F76"/>
    <w:rsid w:val="00C11FF6"/>
    <w:rsid w:val="00C166CE"/>
    <w:rsid w:val="00C1739B"/>
    <w:rsid w:val="00C20B63"/>
    <w:rsid w:val="00C22CD0"/>
    <w:rsid w:val="00C255BF"/>
    <w:rsid w:val="00C325F7"/>
    <w:rsid w:val="00C4435A"/>
    <w:rsid w:val="00C47C2D"/>
    <w:rsid w:val="00C56C76"/>
    <w:rsid w:val="00C574B6"/>
    <w:rsid w:val="00C57DC7"/>
    <w:rsid w:val="00C60A20"/>
    <w:rsid w:val="00C60CD3"/>
    <w:rsid w:val="00C62AAD"/>
    <w:rsid w:val="00C646BC"/>
    <w:rsid w:val="00C66ED0"/>
    <w:rsid w:val="00C71DE2"/>
    <w:rsid w:val="00C73C3F"/>
    <w:rsid w:val="00C74CFB"/>
    <w:rsid w:val="00C7516D"/>
    <w:rsid w:val="00C77608"/>
    <w:rsid w:val="00C8620C"/>
    <w:rsid w:val="00C95552"/>
    <w:rsid w:val="00C9601B"/>
    <w:rsid w:val="00CA6B28"/>
    <w:rsid w:val="00CA6B58"/>
    <w:rsid w:val="00CB4194"/>
    <w:rsid w:val="00CB7FE7"/>
    <w:rsid w:val="00CC6C68"/>
    <w:rsid w:val="00CD1190"/>
    <w:rsid w:val="00CD36D6"/>
    <w:rsid w:val="00CD4D1E"/>
    <w:rsid w:val="00CE7418"/>
    <w:rsid w:val="00CE7C3D"/>
    <w:rsid w:val="00D02093"/>
    <w:rsid w:val="00D038BF"/>
    <w:rsid w:val="00D1057F"/>
    <w:rsid w:val="00D1383F"/>
    <w:rsid w:val="00D15CB8"/>
    <w:rsid w:val="00D2186C"/>
    <w:rsid w:val="00D24095"/>
    <w:rsid w:val="00D2682B"/>
    <w:rsid w:val="00D26B8D"/>
    <w:rsid w:val="00D275AC"/>
    <w:rsid w:val="00D277F2"/>
    <w:rsid w:val="00D450D1"/>
    <w:rsid w:val="00D460CE"/>
    <w:rsid w:val="00D47A87"/>
    <w:rsid w:val="00D51A04"/>
    <w:rsid w:val="00D51B51"/>
    <w:rsid w:val="00D53511"/>
    <w:rsid w:val="00D56DAF"/>
    <w:rsid w:val="00D602B4"/>
    <w:rsid w:val="00D6142A"/>
    <w:rsid w:val="00D65EA6"/>
    <w:rsid w:val="00D67106"/>
    <w:rsid w:val="00D71B3F"/>
    <w:rsid w:val="00D73067"/>
    <w:rsid w:val="00D805D0"/>
    <w:rsid w:val="00D80F47"/>
    <w:rsid w:val="00D91D88"/>
    <w:rsid w:val="00D938B3"/>
    <w:rsid w:val="00DA22AE"/>
    <w:rsid w:val="00DA46BA"/>
    <w:rsid w:val="00DB5F30"/>
    <w:rsid w:val="00DC495B"/>
    <w:rsid w:val="00DD0368"/>
    <w:rsid w:val="00DD2A8F"/>
    <w:rsid w:val="00DD52DA"/>
    <w:rsid w:val="00DE062D"/>
    <w:rsid w:val="00DE1B95"/>
    <w:rsid w:val="00DE3FF7"/>
    <w:rsid w:val="00DE46DA"/>
    <w:rsid w:val="00DF6117"/>
    <w:rsid w:val="00DF6517"/>
    <w:rsid w:val="00E006ED"/>
    <w:rsid w:val="00E1221D"/>
    <w:rsid w:val="00E132E0"/>
    <w:rsid w:val="00E14E5C"/>
    <w:rsid w:val="00E16A91"/>
    <w:rsid w:val="00E175DC"/>
    <w:rsid w:val="00E25171"/>
    <w:rsid w:val="00E264DB"/>
    <w:rsid w:val="00E26B41"/>
    <w:rsid w:val="00E27621"/>
    <w:rsid w:val="00E32B81"/>
    <w:rsid w:val="00E33BB9"/>
    <w:rsid w:val="00E35F49"/>
    <w:rsid w:val="00E3746E"/>
    <w:rsid w:val="00E43C0C"/>
    <w:rsid w:val="00E453F9"/>
    <w:rsid w:val="00E45643"/>
    <w:rsid w:val="00E50310"/>
    <w:rsid w:val="00E54F80"/>
    <w:rsid w:val="00E62CDA"/>
    <w:rsid w:val="00E663EB"/>
    <w:rsid w:val="00E66C3F"/>
    <w:rsid w:val="00E6762B"/>
    <w:rsid w:val="00E8286D"/>
    <w:rsid w:val="00E85393"/>
    <w:rsid w:val="00E853A3"/>
    <w:rsid w:val="00E90B1F"/>
    <w:rsid w:val="00E95D28"/>
    <w:rsid w:val="00E96B71"/>
    <w:rsid w:val="00EA1D18"/>
    <w:rsid w:val="00EA7984"/>
    <w:rsid w:val="00EB15E3"/>
    <w:rsid w:val="00EB1A8A"/>
    <w:rsid w:val="00EB26B9"/>
    <w:rsid w:val="00EB3D10"/>
    <w:rsid w:val="00EC2012"/>
    <w:rsid w:val="00EC47E8"/>
    <w:rsid w:val="00EC5CC4"/>
    <w:rsid w:val="00ED0892"/>
    <w:rsid w:val="00ED52A0"/>
    <w:rsid w:val="00EE1907"/>
    <w:rsid w:val="00EE3586"/>
    <w:rsid w:val="00EE4836"/>
    <w:rsid w:val="00EE76A1"/>
    <w:rsid w:val="00EF257C"/>
    <w:rsid w:val="00EF4836"/>
    <w:rsid w:val="00F150DA"/>
    <w:rsid w:val="00F16EC2"/>
    <w:rsid w:val="00F21391"/>
    <w:rsid w:val="00F2260F"/>
    <w:rsid w:val="00F26947"/>
    <w:rsid w:val="00F30D2D"/>
    <w:rsid w:val="00F3485A"/>
    <w:rsid w:val="00F4158F"/>
    <w:rsid w:val="00F42923"/>
    <w:rsid w:val="00F43245"/>
    <w:rsid w:val="00F43779"/>
    <w:rsid w:val="00F4525A"/>
    <w:rsid w:val="00F46428"/>
    <w:rsid w:val="00F50B6E"/>
    <w:rsid w:val="00F516DF"/>
    <w:rsid w:val="00F52756"/>
    <w:rsid w:val="00F5338F"/>
    <w:rsid w:val="00F539F3"/>
    <w:rsid w:val="00F573A8"/>
    <w:rsid w:val="00F614FE"/>
    <w:rsid w:val="00F63777"/>
    <w:rsid w:val="00F708D1"/>
    <w:rsid w:val="00F714ED"/>
    <w:rsid w:val="00F72970"/>
    <w:rsid w:val="00F74BEE"/>
    <w:rsid w:val="00F750BC"/>
    <w:rsid w:val="00F77636"/>
    <w:rsid w:val="00F861DC"/>
    <w:rsid w:val="00F870D0"/>
    <w:rsid w:val="00F87682"/>
    <w:rsid w:val="00F92266"/>
    <w:rsid w:val="00F93A31"/>
    <w:rsid w:val="00F94815"/>
    <w:rsid w:val="00F94DCD"/>
    <w:rsid w:val="00FA174B"/>
    <w:rsid w:val="00FA30D7"/>
    <w:rsid w:val="00FA3EAC"/>
    <w:rsid w:val="00FA5E45"/>
    <w:rsid w:val="00FB37E2"/>
    <w:rsid w:val="00FC39F0"/>
    <w:rsid w:val="00FC3CE0"/>
    <w:rsid w:val="00FC611B"/>
    <w:rsid w:val="00FD3594"/>
    <w:rsid w:val="00FE08C8"/>
    <w:rsid w:val="00FF0A78"/>
    <w:rsid w:val="00FF115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D5E9CA-2049-4BD5-BD81-8BC2C0FC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fr-FR" w:eastAsia="fr-FR"/>
    </w:rPr>
  </w:style>
  <w:style w:type="paragraph" w:customStyle="1" w:styleId="BodyTextIndent2">
    <w:name w:val="Body Text Indent 2"/>
    <w:basedOn w:val="Normal"/>
    <w:pPr>
      <w:ind w:left="1701" w:firstLine="567"/>
      <w:jc w:val="both"/>
    </w:pPr>
    <w:rPr>
      <w:szCs w:val="20"/>
    </w:rPr>
  </w:style>
  <w:style w:type="paragraph" w:customStyle="1" w:styleId="Projet">
    <w:name w:val="Projet"/>
    <w:basedOn w:val="Normal"/>
    <w:pPr>
      <w:ind w:left="1701"/>
      <w:jc w:val="both"/>
    </w:pPr>
    <w:rPr>
      <w:b/>
      <w:sz w:val="28"/>
      <w:szCs w:val="20"/>
    </w:rPr>
  </w:style>
  <w:style w:type="character" w:styleId="Numrodepage">
    <w:name w:val="page number"/>
    <w:basedOn w:val="Policepardfaut"/>
    <w:rsid w:val="003A7BD1"/>
  </w:style>
  <w:style w:type="paragraph" w:styleId="Textedebulles">
    <w:name w:val="Balloon Text"/>
    <w:basedOn w:val="Normal"/>
    <w:semiHidden/>
    <w:rsid w:val="00FF42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32091F"/>
    <w:rPr>
      <w:b/>
      <w:bCs/>
      <w:lang w:val="fr-CH"/>
    </w:rPr>
  </w:style>
  <w:style w:type="character" w:customStyle="1" w:styleId="CorpsdetexteCar">
    <w:name w:val="Corps de texte Car"/>
    <w:basedOn w:val="Policepardfaut"/>
    <w:link w:val="Corpsdetexte"/>
    <w:rsid w:val="0032091F"/>
    <w:rPr>
      <w:b/>
      <w:bCs/>
      <w:sz w:val="24"/>
      <w:szCs w:val="24"/>
      <w:lang w:val="fr-CH" w:eastAsia="fr-FR"/>
    </w:rPr>
  </w:style>
  <w:style w:type="paragraph" w:styleId="Paragraphedeliste">
    <w:name w:val="List Paragraph"/>
    <w:basedOn w:val="Normal"/>
    <w:uiPriority w:val="34"/>
    <w:qFormat/>
    <w:rsid w:val="006D5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162BDC6-1596-496C-8E1E-9603476AB8A0}"/>
</file>

<file path=customXml/itemProps2.xml><?xml version="1.0" encoding="utf-8"?>
<ds:datastoreItem xmlns:ds="http://schemas.openxmlformats.org/officeDocument/2006/customXml" ds:itemID="{43484018-2980-4324-9B63-392FD24751DA}"/>
</file>

<file path=customXml/itemProps3.xml><?xml version="1.0" encoding="utf-8"?>
<ds:datastoreItem xmlns:ds="http://schemas.openxmlformats.org/officeDocument/2006/customXml" ds:itemID="{72BBBF75-6D82-4A26-B368-EC640104F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4938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Guezennec Caroline</dc:creator>
  <cp:keywords/>
  <cp:lastModifiedBy>SYSTEM</cp:lastModifiedBy>
  <cp:revision>2</cp:revision>
  <cp:lastPrinted>2010-10-27T12:43:00Z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