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33" w:rsidRDefault="00FC3933" w:rsidP="00FC3933">
      <w:pPr>
        <w:jc w:val="both"/>
        <w:rPr>
          <w:rFonts w:ascii="Arial" w:hAnsi="Arial" w:cs="Arial"/>
          <w:lang w:val="fr-LU" w:eastAsia="fr-LU"/>
        </w:rPr>
      </w:pPr>
      <w:bookmarkStart w:id="0" w:name="_GoBack"/>
      <w:bookmarkEnd w:id="0"/>
    </w:p>
    <w:p w:rsidR="00FC3933" w:rsidRDefault="00FC3933" w:rsidP="00FC3933">
      <w:pPr>
        <w:jc w:val="both"/>
        <w:rPr>
          <w:rFonts w:ascii="Arial" w:hAnsi="Arial" w:cs="Arial"/>
          <w:lang w:val="fr-LU" w:eastAsia="fr-LU"/>
        </w:rPr>
      </w:pPr>
      <w:r>
        <w:rPr>
          <w:rFonts w:ascii="Arial" w:hAnsi="Arial" w:cs="Arial"/>
          <w:lang w:val="fr-LU" w:eastAsia="fr-LU"/>
        </w:rPr>
        <w:t>Résumé – PL 6149</w:t>
      </w:r>
    </w:p>
    <w:p w:rsidR="00FC3933" w:rsidRDefault="00FC3933" w:rsidP="00FC3933">
      <w:pPr>
        <w:jc w:val="both"/>
        <w:rPr>
          <w:rFonts w:ascii="Arial" w:hAnsi="Arial" w:cs="Arial"/>
          <w:lang w:val="fr-LU" w:eastAsia="fr-LU"/>
        </w:rPr>
      </w:pPr>
    </w:p>
    <w:p w:rsidR="00FC3933" w:rsidRDefault="00FC3933" w:rsidP="00FC3933">
      <w:pPr>
        <w:jc w:val="both"/>
        <w:rPr>
          <w:rFonts w:ascii="Arial" w:hAnsi="Arial" w:cs="Arial"/>
          <w:lang w:val="fr-LU" w:eastAsia="fr-LU"/>
        </w:rPr>
      </w:pPr>
      <w:r>
        <w:rPr>
          <w:rFonts w:ascii="Arial" w:hAnsi="Arial" w:cs="Arial"/>
          <w:lang w:val="fr-LU" w:eastAsia="fr-LU"/>
        </w:rPr>
        <w:t xml:space="preserve">Le présent projet de loi a </w:t>
      </w:r>
      <w:r w:rsidRPr="00493FEA">
        <w:rPr>
          <w:rFonts w:ascii="Arial" w:hAnsi="Arial" w:cs="Arial"/>
          <w:lang w:val="fr-LU" w:eastAsia="fr-LU"/>
        </w:rPr>
        <w:t xml:space="preserve">pour objectif essentiel de transposer </w:t>
      </w:r>
      <w:r>
        <w:rPr>
          <w:rFonts w:ascii="Arial" w:hAnsi="Arial" w:cs="Arial"/>
          <w:lang w:val="fr-LU" w:eastAsia="fr-LU"/>
        </w:rPr>
        <w:t>en droit luxembourgeois:</w:t>
      </w:r>
    </w:p>
    <w:p w:rsidR="00FC3933" w:rsidRDefault="00FC3933" w:rsidP="00FC3933">
      <w:pPr>
        <w:jc w:val="both"/>
        <w:rPr>
          <w:rFonts w:ascii="Arial" w:hAnsi="Arial" w:cs="Arial"/>
          <w:lang w:val="fr-LU" w:eastAsia="fr-LU"/>
        </w:rPr>
      </w:pPr>
    </w:p>
    <w:p w:rsidR="00FC3933" w:rsidRPr="0091033E" w:rsidRDefault="00FC3933" w:rsidP="00FC3933">
      <w:pPr>
        <w:numPr>
          <w:ilvl w:val="0"/>
          <w:numId w:val="1"/>
        </w:numPr>
        <w:jc w:val="both"/>
        <w:rPr>
          <w:rFonts w:ascii="Arial" w:hAnsi="Arial" w:cs="Arial"/>
          <w:lang w:val="fr-LU" w:eastAsia="fr-LU"/>
        </w:rPr>
      </w:pPr>
      <w:r w:rsidRPr="0091033E">
        <w:rPr>
          <w:rFonts w:ascii="Arial" w:hAnsi="Arial" w:cs="Arial"/>
          <w:lang w:val="fr-LU" w:eastAsia="fr-LU"/>
        </w:rPr>
        <w:t>La directive 2009/140/CE du Parlement européen et du Conseil du</w:t>
      </w:r>
      <w:r>
        <w:rPr>
          <w:rFonts w:ascii="Arial" w:hAnsi="Arial" w:cs="Arial"/>
          <w:lang w:val="fr-LU" w:eastAsia="fr-LU"/>
        </w:rPr>
        <w:t xml:space="preserve"> 25 novembre 2009 modifiant les </w:t>
      </w:r>
      <w:r w:rsidRPr="0091033E">
        <w:rPr>
          <w:rFonts w:ascii="Arial" w:hAnsi="Arial" w:cs="Arial"/>
          <w:lang w:val="fr-LU" w:eastAsia="fr-LU"/>
        </w:rPr>
        <w:t xml:space="preserve">directives 2002/21/CE relative à un cadre réglementaire commun </w:t>
      </w:r>
      <w:r>
        <w:rPr>
          <w:rFonts w:ascii="Arial" w:hAnsi="Arial" w:cs="Arial"/>
          <w:lang w:val="fr-LU" w:eastAsia="fr-LU"/>
        </w:rPr>
        <w:t xml:space="preserve">pour les réseaux et services de </w:t>
      </w:r>
      <w:r w:rsidRPr="0091033E">
        <w:rPr>
          <w:rFonts w:ascii="Arial" w:hAnsi="Arial" w:cs="Arial"/>
          <w:lang w:val="fr-LU" w:eastAsia="fr-LU"/>
        </w:rPr>
        <w:t xml:space="preserve">communications électroniques, 2002/19/CE relative à l’accès aux réseaux </w:t>
      </w:r>
      <w:r>
        <w:rPr>
          <w:rFonts w:ascii="Arial" w:hAnsi="Arial" w:cs="Arial"/>
          <w:lang w:val="fr-LU" w:eastAsia="fr-LU"/>
        </w:rPr>
        <w:t xml:space="preserve">de communications électroniques </w:t>
      </w:r>
      <w:r w:rsidRPr="0091033E">
        <w:rPr>
          <w:rFonts w:ascii="Arial" w:hAnsi="Arial" w:cs="Arial"/>
          <w:lang w:val="fr-LU" w:eastAsia="fr-LU"/>
        </w:rPr>
        <w:t>et aux ressources associées, ainsi qu’à leur interconnexion,</w:t>
      </w:r>
      <w:r>
        <w:rPr>
          <w:rFonts w:ascii="Arial" w:hAnsi="Arial" w:cs="Arial"/>
          <w:lang w:val="fr-LU" w:eastAsia="fr-LU"/>
        </w:rPr>
        <w:t xml:space="preserve"> et 2002/20/CE relative à </w:t>
      </w:r>
      <w:r w:rsidRPr="0091033E">
        <w:rPr>
          <w:rFonts w:ascii="Arial" w:hAnsi="Arial" w:cs="Arial"/>
          <w:lang w:val="fr-LU" w:eastAsia="fr-LU"/>
        </w:rPr>
        <w:t xml:space="preserve">l’autorisation des réseaux et services </w:t>
      </w:r>
      <w:r>
        <w:rPr>
          <w:rFonts w:ascii="Arial" w:hAnsi="Arial" w:cs="Arial"/>
          <w:lang w:val="fr-LU" w:eastAsia="fr-LU"/>
        </w:rPr>
        <w:t>de communications électroniques</w:t>
      </w:r>
      <w:r w:rsidRPr="0091033E">
        <w:rPr>
          <w:rFonts w:ascii="Arial" w:hAnsi="Arial" w:cs="Arial"/>
          <w:lang w:val="fr-LU" w:eastAsia="fr-LU"/>
        </w:rPr>
        <w:t>;</w:t>
      </w:r>
    </w:p>
    <w:p w:rsidR="00FC3933" w:rsidRDefault="00FC3933" w:rsidP="00FC3933">
      <w:pPr>
        <w:jc w:val="both"/>
        <w:rPr>
          <w:rFonts w:ascii="Arial" w:hAnsi="Arial" w:cs="Arial"/>
          <w:lang w:val="fr-LU" w:eastAsia="fr-LU"/>
        </w:rPr>
      </w:pPr>
    </w:p>
    <w:p w:rsidR="00FC3933" w:rsidRPr="0091033E" w:rsidRDefault="00FC3933" w:rsidP="00FC3933">
      <w:pPr>
        <w:numPr>
          <w:ilvl w:val="0"/>
          <w:numId w:val="1"/>
        </w:numPr>
        <w:jc w:val="both"/>
        <w:rPr>
          <w:rFonts w:ascii="Arial" w:hAnsi="Arial" w:cs="Arial"/>
          <w:lang w:val="fr-LU" w:eastAsia="fr-LU"/>
        </w:rPr>
      </w:pPr>
      <w:r w:rsidRPr="0091033E">
        <w:rPr>
          <w:rFonts w:ascii="Arial" w:hAnsi="Arial" w:cs="Arial"/>
          <w:lang w:val="fr-LU" w:eastAsia="fr-LU"/>
        </w:rPr>
        <w:t>La directive 2009/136/CE du Parlement européen et du Conseil du</w:t>
      </w:r>
      <w:r>
        <w:rPr>
          <w:rFonts w:ascii="Arial" w:hAnsi="Arial" w:cs="Arial"/>
          <w:lang w:val="fr-LU" w:eastAsia="fr-LU"/>
        </w:rPr>
        <w:t xml:space="preserve"> 25 novembre 2009 modifiant les </w:t>
      </w:r>
      <w:r w:rsidRPr="0091033E">
        <w:rPr>
          <w:rFonts w:ascii="Arial" w:hAnsi="Arial" w:cs="Arial"/>
          <w:lang w:val="fr-LU" w:eastAsia="fr-LU"/>
        </w:rPr>
        <w:t>directives modifiant la directive 2002/22/CE concernant le service universel</w:t>
      </w:r>
      <w:r>
        <w:rPr>
          <w:rFonts w:ascii="Arial" w:hAnsi="Arial" w:cs="Arial"/>
          <w:lang w:val="fr-LU" w:eastAsia="fr-LU"/>
        </w:rPr>
        <w:t xml:space="preserve"> et les droits des utilisateurs </w:t>
      </w:r>
      <w:r w:rsidRPr="0091033E">
        <w:rPr>
          <w:rFonts w:ascii="Arial" w:hAnsi="Arial" w:cs="Arial"/>
          <w:lang w:val="fr-LU" w:eastAsia="fr-LU"/>
        </w:rPr>
        <w:t>au regard des réseaux et services de communications électro</w:t>
      </w:r>
      <w:r>
        <w:rPr>
          <w:rFonts w:ascii="Arial" w:hAnsi="Arial" w:cs="Arial"/>
          <w:lang w:val="fr-LU" w:eastAsia="fr-LU"/>
        </w:rPr>
        <w:t xml:space="preserve">niques, la directive 2002/58/CE </w:t>
      </w:r>
      <w:r w:rsidRPr="0091033E">
        <w:rPr>
          <w:rFonts w:ascii="Arial" w:hAnsi="Arial" w:cs="Arial"/>
          <w:lang w:val="fr-LU" w:eastAsia="fr-LU"/>
        </w:rPr>
        <w:t>concernant le traitement des données à caractère personnel et la prot</w:t>
      </w:r>
      <w:r>
        <w:rPr>
          <w:rFonts w:ascii="Arial" w:hAnsi="Arial" w:cs="Arial"/>
          <w:lang w:val="fr-LU" w:eastAsia="fr-LU"/>
        </w:rPr>
        <w:t xml:space="preserve">ection de la vie privée dans le </w:t>
      </w:r>
      <w:r w:rsidRPr="0091033E">
        <w:rPr>
          <w:rFonts w:ascii="Arial" w:hAnsi="Arial" w:cs="Arial"/>
          <w:lang w:val="fr-LU" w:eastAsia="fr-LU"/>
        </w:rPr>
        <w:t>secteur des communications électroniques et le règlement (CE) No 200</w:t>
      </w:r>
      <w:r>
        <w:rPr>
          <w:rFonts w:ascii="Arial" w:hAnsi="Arial" w:cs="Arial"/>
          <w:lang w:val="fr-LU" w:eastAsia="fr-LU"/>
        </w:rPr>
        <w:t xml:space="preserve">6/2004 relatif à la coopération </w:t>
      </w:r>
      <w:r w:rsidRPr="0091033E">
        <w:rPr>
          <w:rFonts w:ascii="Arial" w:hAnsi="Arial" w:cs="Arial"/>
          <w:lang w:val="fr-LU" w:eastAsia="fr-LU"/>
        </w:rPr>
        <w:t>entre les autorités nationales chargées de veiller à l’application de la légis</w:t>
      </w:r>
      <w:r>
        <w:rPr>
          <w:rFonts w:ascii="Arial" w:hAnsi="Arial" w:cs="Arial"/>
          <w:lang w:val="fr-LU" w:eastAsia="fr-LU"/>
        </w:rPr>
        <w:t>lation en matière de protection des consommateurs</w:t>
      </w:r>
      <w:r w:rsidRPr="0091033E">
        <w:rPr>
          <w:rFonts w:ascii="Arial" w:hAnsi="Arial" w:cs="Arial"/>
          <w:lang w:val="fr-LU" w:eastAsia="fr-LU"/>
        </w:rPr>
        <w:t>.</w:t>
      </w:r>
    </w:p>
    <w:p w:rsidR="00FC3933" w:rsidRDefault="00FC3933" w:rsidP="00FC3933">
      <w:pPr>
        <w:jc w:val="both"/>
        <w:rPr>
          <w:rFonts w:ascii="Arial" w:hAnsi="Arial" w:cs="Arial"/>
          <w:lang w:val="fr-LU" w:eastAsia="fr-LU"/>
        </w:rPr>
      </w:pPr>
    </w:p>
    <w:p w:rsidR="00FC3933" w:rsidRDefault="00FC3933" w:rsidP="00FC3933">
      <w:pPr>
        <w:jc w:val="both"/>
        <w:rPr>
          <w:rFonts w:ascii="Arial" w:hAnsi="Arial" w:cs="Arial"/>
          <w:lang w:val="fr-LU" w:eastAsia="fr-LU"/>
        </w:rPr>
      </w:pPr>
      <w:r>
        <w:rPr>
          <w:rFonts w:ascii="Arial" w:hAnsi="Arial" w:cs="Arial"/>
          <w:lang w:val="fr-LU" w:eastAsia="fr-LU"/>
        </w:rPr>
        <w:t xml:space="preserve">Le projet de loi se </w:t>
      </w:r>
      <w:r w:rsidRPr="0091033E">
        <w:rPr>
          <w:rFonts w:ascii="Arial" w:hAnsi="Arial" w:cs="Arial"/>
          <w:lang w:val="fr-LU" w:eastAsia="fr-LU"/>
        </w:rPr>
        <w:t>limite aux réseaux et services de communications électroniques et fait abstraction de</w:t>
      </w:r>
      <w:r>
        <w:rPr>
          <w:rFonts w:ascii="Arial" w:hAnsi="Arial" w:cs="Arial"/>
          <w:lang w:val="fr-LU" w:eastAsia="fr-LU"/>
        </w:rPr>
        <w:t xml:space="preserve"> </w:t>
      </w:r>
      <w:r w:rsidRPr="0091033E">
        <w:rPr>
          <w:rFonts w:ascii="Arial" w:hAnsi="Arial" w:cs="Arial"/>
          <w:lang w:val="fr-LU" w:eastAsia="fr-LU"/>
        </w:rPr>
        <w:t>la gestion des fréquences radioélectriques, des aspects liés au traitement de</w:t>
      </w:r>
      <w:r>
        <w:rPr>
          <w:rFonts w:ascii="Arial" w:hAnsi="Arial" w:cs="Arial"/>
          <w:lang w:val="fr-LU" w:eastAsia="fr-LU"/>
        </w:rPr>
        <w:t xml:space="preserve">s données à caractère personnel </w:t>
      </w:r>
      <w:r w:rsidRPr="0091033E">
        <w:rPr>
          <w:rFonts w:ascii="Arial" w:hAnsi="Arial" w:cs="Arial"/>
          <w:lang w:val="fr-LU" w:eastAsia="fr-LU"/>
        </w:rPr>
        <w:t>et de la protection de la vie privée dans le secteur des communications él</w:t>
      </w:r>
      <w:r>
        <w:rPr>
          <w:rFonts w:ascii="Arial" w:hAnsi="Arial" w:cs="Arial"/>
          <w:lang w:val="fr-LU" w:eastAsia="fr-LU"/>
        </w:rPr>
        <w:t xml:space="preserve">ectroniques ainsi que </w:t>
      </w:r>
      <w:r w:rsidRPr="0091033E">
        <w:rPr>
          <w:rFonts w:ascii="Arial" w:hAnsi="Arial" w:cs="Arial"/>
          <w:lang w:val="fr-LU" w:eastAsia="fr-LU"/>
        </w:rPr>
        <w:t>du cadre institutionnel de l’Institut Luxembourgeois de Régulation</w:t>
      </w:r>
      <w:r>
        <w:rPr>
          <w:rFonts w:ascii="Arial" w:hAnsi="Arial" w:cs="Arial"/>
          <w:lang w:val="fr-LU" w:eastAsia="fr-LU"/>
        </w:rPr>
        <w:t xml:space="preserve"> (ILR)</w:t>
      </w:r>
      <w:r w:rsidRPr="0091033E">
        <w:rPr>
          <w:rFonts w:ascii="Arial" w:hAnsi="Arial" w:cs="Arial"/>
          <w:lang w:val="fr-LU" w:eastAsia="fr-LU"/>
        </w:rPr>
        <w:t>, Ins</w:t>
      </w:r>
      <w:r>
        <w:rPr>
          <w:rFonts w:ascii="Arial" w:hAnsi="Arial" w:cs="Arial"/>
          <w:lang w:val="fr-LU" w:eastAsia="fr-LU"/>
        </w:rPr>
        <w:t xml:space="preserve">titut désigné à assurer le rôle </w:t>
      </w:r>
      <w:r w:rsidRPr="0091033E">
        <w:rPr>
          <w:rFonts w:ascii="Arial" w:hAnsi="Arial" w:cs="Arial"/>
          <w:lang w:val="fr-LU" w:eastAsia="fr-LU"/>
        </w:rPr>
        <w:t>d’autorité de régulation nationale indépendante pour le secteur des co</w:t>
      </w:r>
      <w:r>
        <w:rPr>
          <w:rFonts w:ascii="Arial" w:hAnsi="Arial" w:cs="Arial"/>
          <w:lang w:val="fr-LU" w:eastAsia="fr-LU"/>
        </w:rPr>
        <w:t xml:space="preserve">mmunications électroniques, qui </w:t>
      </w:r>
      <w:r w:rsidRPr="000F5349">
        <w:rPr>
          <w:rFonts w:ascii="Arial" w:hAnsi="Arial" w:cs="Arial"/>
          <w:lang w:val="fr-LU" w:eastAsia="fr-LU"/>
        </w:rPr>
        <w:t>font l’objet</w:t>
      </w:r>
      <w:r w:rsidRPr="0091033E">
        <w:rPr>
          <w:rFonts w:ascii="Arial" w:hAnsi="Arial" w:cs="Arial"/>
          <w:lang w:val="fr-LU" w:eastAsia="fr-LU"/>
        </w:rPr>
        <w:t xml:space="preserve"> de projets séparés et spécifiques.</w:t>
      </w:r>
    </w:p>
    <w:p w:rsidR="0018153C" w:rsidRPr="00FC3933" w:rsidRDefault="0018153C">
      <w:pPr>
        <w:rPr>
          <w:lang w:val="fr-LU"/>
        </w:rPr>
      </w:pPr>
    </w:p>
    <w:sectPr w:rsidR="0018153C" w:rsidRPr="00FC3933" w:rsidSect="0018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A72"/>
    <w:multiLevelType w:val="hybridMultilevel"/>
    <w:tmpl w:val="DF9E630E"/>
    <w:lvl w:ilvl="0" w:tplc="A1B8A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933"/>
    <w:rsid w:val="00127FD9"/>
    <w:rsid w:val="001633E4"/>
    <w:rsid w:val="00170DB9"/>
    <w:rsid w:val="0018153C"/>
    <w:rsid w:val="002267BE"/>
    <w:rsid w:val="00256420"/>
    <w:rsid w:val="00275894"/>
    <w:rsid w:val="00320BEA"/>
    <w:rsid w:val="00337E61"/>
    <w:rsid w:val="003D3940"/>
    <w:rsid w:val="004372C9"/>
    <w:rsid w:val="004D2DA2"/>
    <w:rsid w:val="00503958"/>
    <w:rsid w:val="00524A4D"/>
    <w:rsid w:val="005356FB"/>
    <w:rsid w:val="0054496D"/>
    <w:rsid w:val="005B0F97"/>
    <w:rsid w:val="005F3DBC"/>
    <w:rsid w:val="00615797"/>
    <w:rsid w:val="006454CB"/>
    <w:rsid w:val="006D27DE"/>
    <w:rsid w:val="00717DF4"/>
    <w:rsid w:val="00733C7D"/>
    <w:rsid w:val="007E0699"/>
    <w:rsid w:val="00821B1B"/>
    <w:rsid w:val="008A2B9E"/>
    <w:rsid w:val="009169FD"/>
    <w:rsid w:val="00922E56"/>
    <w:rsid w:val="00962A49"/>
    <w:rsid w:val="009A0D27"/>
    <w:rsid w:val="009A287F"/>
    <w:rsid w:val="00A0360C"/>
    <w:rsid w:val="00A03DA8"/>
    <w:rsid w:val="00A865C9"/>
    <w:rsid w:val="00AA6D4A"/>
    <w:rsid w:val="00AD6231"/>
    <w:rsid w:val="00B713D3"/>
    <w:rsid w:val="00B829EE"/>
    <w:rsid w:val="00BA523B"/>
    <w:rsid w:val="00CA038C"/>
    <w:rsid w:val="00CB77C4"/>
    <w:rsid w:val="00D10D15"/>
    <w:rsid w:val="00D47BAF"/>
    <w:rsid w:val="00D528B6"/>
    <w:rsid w:val="00E572B6"/>
    <w:rsid w:val="00ED37E0"/>
    <w:rsid w:val="00F24DFC"/>
    <w:rsid w:val="00F724AB"/>
    <w:rsid w:val="00FC3933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6B008C-32CB-47D0-B430-E74E14D6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933"/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DP6149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6149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/sftpecos/Dossiers_parlementaires/6149/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11C3199-FCD2-4D59-BBC2-20869101D3EB}"/>
</file>

<file path=customXml/itemProps2.xml><?xml version="1.0" encoding="utf-8"?>
<ds:datastoreItem xmlns:ds="http://schemas.openxmlformats.org/officeDocument/2006/customXml" ds:itemID="{870DD8E4-3F30-4B86-B10F-341DB730212C}"/>
</file>

<file path=customXml/itemProps3.xml><?xml version="1.0" encoding="utf-8"?>
<ds:datastoreItem xmlns:ds="http://schemas.openxmlformats.org/officeDocument/2006/customXml" ds:itemID="{78E05DEC-1489-4CFB-B850-CE52B5751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PKOHN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